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2523" w:val="left" w:leader="none"/>
          <w:tab w:pos="5995" w:val="left" w:leader="none"/>
          <w:tab w:pos="7908" w:val="left" w:leader="none"/>
        </w:tabs>
        <w:spacing w:line="240" w:lineRule="auto"/>
        <w:ind w:left="255" w:right="0" w:firstLine="0"/>
        <w:rPr>
          <w:rFonts w:ascii="Times New Roman"/>
          <w:sz w:val="20"/>
        </w:rPr>
      </w:pPr>
      <w:r>
        <w:rPr>
          <w:rFonts w:ascii="Times New Roman"/>
          <w:position w:val="31"/>
          <w:sz w:val="20"/>
        </w:rPr>
        <w:drawing>
          <wp:inline distT="0" distB="0" distL="0" distR="0">
            <wp:extent cx="1286138" cy="577976"/>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286138" cy="577976"/>
                    </a:xfrm>
                    <a:prstGeom prst="rect">
                      <a:avLst/>
                    </a:prstGeom>
                  </pic:spPr>
                </pic:pic>
              </a:graphicData>
            </a:graphic>
          </wp:inline>
        </w:drawing>
      </w:r>
      <w:r>
        <w:rPr>
          <w:rFonts w:ascii="Times New Roman"/>
          <w:position w:val="31"/>
          <w:sz w:val="20"/>
        </w:rPr>
      </w:r>
      <w:r>
        <w:rPr>
          <w:rFonts w:ascii="Times New Roman"/>
          <w:position w:val="31"/>
          <w:sz w:val="20"/>
        </w:rPr>
        <w:tab/>
      </w:r>
      <w:r>
        <w:rPr>
          <w:rFonts w:ascii="Times New Roman"/>
          <w:position w:val="77"/>
          <w:sz w:val="20"/>
        </w:rPr>
        <w:drawing>
          <wp:inline distT="0" distB="0" distL="0" distR="0">
            <wp:extent cx="1814457" cy="352044"/>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814457" cy="352044"/>
                    </a:xfrm>
                    <a:prstGeom prst="rect">
                      <a:avLst/>
                    </a:prstGeom>
                  </pic:spPr>
                </pic:pic>
              </a:graphicData>
            </a:graphic>
          </wp:inline>
        </w:drawing>
      </w:r>
      <w:r>
        <w:rPr>
          <w:rFonts w:ascii="Times New Roman"/>
          <w:position w:val="77"/>
          <w:sz w:val="20"/>
        </w:rPr>
      </w:r>
      <w:r>
        <w:rPr>
          <w:rFonts w:ascii="Times New Roman"/>
          <w:position w:val="77"/>
          <w:sz w:val="20"/>
        </w:rPr>
        <w:tab/>
      </w:r>
      <w:r>
        <w:rPr>
          <w:rFonts w:ascii="Times New Roman"/>
          <w:sz w:val="20"/>
        </w:rPr>
        <w:drawing>
          <wp:inline distT="0" distB="0" distL="0" distR="0">
            <wp:extent cx="838200" cy="838200"/>
            <wp:effectExtent l="0" t="0" r="0" b="0"/>
            <wp:docPr id="5" name="image3.jpeg" descr=""/>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838200" cy="838200"/>
                    </a:xfrm>
                    <a:prstGeom prst="rect">
                      <a:avLst/>
                    </a:prstGeom>
                  </pic:spPr>
                </pic:pic>
              </a:graphicData>
            </a:graphic>
          </wp:inline>
        </w:drawing>
      </w:r>
      <w:r>
        <w:rPr>
          <w:rFonts w:ascii="Times New Roman"/>
          <w:sz w:val="20"/>
        </w:rPr>
      </w:r>
      <w:r>
        <w:rPr>
          <w:rFonts w:ascii="Times New Roman"/>
          <w:sz w:val="20"/>
        </w:rPr>
        <w:tab/>
      </w:r>
      <w:r>
        <w:rPr>
          <w:rFonts w:ascii="Times New Roman"/>
          <w:position w:val="31"/>
          <w:sz w:val="20"/>
        </w:rPr>
        <w:drawing>
          <wp:inline distT="0" distB="0" distL="0" distR="0">
            <wp:extent cx="1279697" cy="644080"/>
            <wp:effectExtent l="0" t="0" r="0" b="0"/>
            <wp:docPr id="7" name="image4.jpeg" descr=""/>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1279697" cy="644080"/>
                    </a:xfrm>
                    <a:prstGeom prst="rect">
                      <a:avLst/>
                    </a:prstGeom>
                  </pic:spPr>
                </pic:pic>
              </a:graphicData>
            </a:graphic>
          </wp:inline>
        </w:drawing>
      </w:r>
      <w:r>
        <w:rPr>
          <w:rFonts w:ascii="Times New Roman"/>
          <w:position w:val="31"/>
          <w:sz w:val="20"/>
        </w:rPr>
      </w:r>
    </w:p>
    <w:p>
      <w:pPr>
        <w:pStyle w:val="BodyText"/>
        <w:spacing w:before="9"/>
        <w:rPr>
          <w:rFonts w:ascii="Times New Roman"/>
          <w:sz w:val="11"/>
        </w:rPr>
      </w:pPr>
      <w:r>
        <w:rPr/>
        <w:pict>
          <v:group style="position:absolute;margin-left:55.919998pt;margin-top:8.8pt;width:496.8pt;height:1.45pt;mso-position-horizontal-relative:page;mso-position-vertical-relative:paragraph;z-index:-1024;mso-wrap-distance-left:0;mso-wrap-distance-right:0" coordorigin="1118,176" coordsize="9936,29">
            <v:line style="position:absolute" from="1118,190" to="3403,190" stroked="true" strokeweight="1.44pt" strokecolor="#000000">
              <v:stroke dashstyle="solid"/>
            </v:line>
            <v:rect style="position:absolute;left:3388;top:176;width:29;height:29" filled="true" fillcolor="#000000" stroked="false">
              <v:fill type="solid"/>
            </v:rect>
            <v:line style="position:absolute" from="3418,190" to="6518,190" stroked="true" strokeweight="1.44pt" strokecolor="#000000">
              <v:stroke dashstyle="solid"/>
            </v:line>
            <v:rect style="position:absolute;left:6504;top:176;width:29;height:29" filled="true" fillcolor="#000000" stroked="false">
              <v:fill type="solid"/>
            </v:rect>
            <v:line style="position:absolute" from="6533,190" to="8789,190" stroked="true" strokeweight="1.44pt" strokecolor="#000000">
              <v:stroke dashstyle="solid"/>
            </v:line>
            <v:rect style="position:absolute;left:8774;top:176;width:29;height:29" filled="true" fillcolor="#000000" stroked="false">
              <v:fill type="solid"/>
            </v:rect>
            <v:line style="position:absolute" from="8803,190" to="11054,190" stroked="true" strokeweight="1.44pt" strokecolor="#000000">
              <v:stroke dashstyle="solid"/>
            </v:line>
            <w10:wrap type="topAndBottom"/>
          </v:group>
        </w:pict>
      </w:r>
    </w:p>
    <w:p>
      <w:pPr>
        <w:pStyle w:val="BodyText"/>
        <w:spacing w:before="3"/>
        <w:rPr>
          <w:rFonts w:ascii="Times New Roman"/>
          <w:sz w:val="9"/>
        </w:rPr>
      </w:pPr>
    </w:p>
    <w:p>
      <w:pPr>
        <w:pStyle w:val="BodyText"/>
        <w:spacing w:line="251" w:lineRule="exact" w:before="94"/>
        <w:ind w:left="5830"/>
      </w:pPr>
      <w:r>
        <w:rPr/>
        <w:t>Women With Disabilities Australia</w:t>
      </w:r>
      <w:r>
        <w:rPr>
          <w:spacing w:val="-21"/>
        </w:rPr>
        <w:t> </w:t>
      </w:r>
      <w:r>
        <w:rPr/>
        <w:t>(WWDA)</w:t>
      </w:r>
    </w:p>
    <w:p>
      <w:pPr>
        <w:pStyle w:val="BodyText"/>
        <w:ind w:left="7381" w:right="108" w:firstLine="1479"/>
        <w:jc w:val="right"/>
      </w:pPr>
      <w:r>
        <w:rPr/>
        <w:t>PO Box </w:t>
      </w:r>
      <w:r>
        <w:rPr>
          <w:spacing w:val="-6"/>
        </w:rPr>
        <w:t>407</w:t>
      </w:r>
      <w:r>
        <w:rPr>
          <w:w w:val="100"/>
        </w:rPr>
        <w:t> </w:t>
      </w:r>
      <w:r>
        <w:rPr/>
        <w:t>LENAH VALLEY</w:t>
      </w:r>
      <w:r>
        <w:rPr>
          <w:spacing w:val="-6"/>
        </w:rPr>
        <w:t> </w:t>
      </w:r>
      <w:r>
        <w:rPr/>
        <w:t>TAS</w:t>
      </w:r>
      <w:r>
        <w:rPr>
          <w:spacing w:val="-3"/>
        </w:rPr>
        <w:t> </w:t>
      </w:r>
      <w:r>
        <w:rPr/>
        <w:t>7008</w:t>
      </w:r>
      <w:r>
        <w:rPr>
          <w:spacing w:val="-1"/>
          <w:w w:val="100"/>
        </w:rPr>
        <w:t> </w:t>
      </w:r>
      <w:r>
        <w:rPr/>
        <w:t>Phone: +61 438 535</w:t>
      </w:r>
      <w:r>
        <w:rPr>
          <w:spacing w:val="-10"/>
        </w:rPr>
        <w:t> </w:t>
      </w:r>
      <w:r>
        <w:rPr/>
        <w:t>123</w:t>
      </w:r>
    </w:p>
    <w:p>
      <w:pPr>
        <w:pStyle w:val="BodyText"/>
        <w:spacing w:before="3"/>
        <w:ind w:right="110"/>
        <w:jc w:val="right"/>
      </w:pPr>
      <w:r>
        <w:rPr/>
        <w:t>Email:</w:t>
      </w:r>
      <w:r>
        <w:rPr>
          <w:spacing w:val="-15"/>
        </w:rPr>
        <w:t> </w:t>
      </w:r>
      <w:hyperlink r:id="rId10">
        <w:r>
          <w:rPr>
            <w:color w:val="0000FF"/>
            <w:u w:val="single" w:color="0000FF"/>
          </w:rPr>
          <w:t>carolyn@wwda.org.au</w:t>
        </w:r>
      </w:hyperlink>
    </w:p>
    <w:p>
      <w:pPr>
        <w:pStyle w:val="BodyText"/>
        <w:spacing w:before="7"/>
        <w:rPr>
          <w:sz w:val="13"/>
        </w:rPr>
      </w:pPr>
    </w:p>
    <w:p>
      <w:pPr>
        <w:pStyle w:val="BodyText"/>
        <w:spacing w:before="94"/>
        <w:ind w:left="132"/>
      </w:pPr>
      <w:r>
        <w:rPr/>
        <w:t>Mr Rob De Luca</w:t>
      </w:r>
    </w:p>
    <w:p>
      <w:pPr>
        <w:pStyle w:val="BodyText"/>
        <w:spacing w:line="251" w:lineRule="exact" w:before="2"/>
        <w:ind w:left="132"/>
      </w:pPr>
      <w:r>
        <w:rPr/>
        <w:t>Chief Executive Officer</w:t>
      </w:r>
    </w:p>
    <w:p>
      <w:pPr>
        <w:pStyle w:val="BodyText"/>
        <w:ind w:left="132" w:right="5704"/>
      </w:pPr>
      <w:r>
        <w:rPr/>
        <w:t>National Disability Insurance Agency (NDIA) GPO Box 700</w:t>
      </w:r>
    </w:p>
    <w:p>
      <w:pPr>
        <w:pStyle w:val="BodyText"/>
        <w:spacing w:before="1"/>
        <w:ind w:left="132"/>
        <w:jc w:val="both"/>
      </w:pPr>
      <w:r>
        <w:rPr/>
        <w:t>CANBERRA ACT 2601</w:t>
      </w:r>
    </w:p>
    <w:p>
      <w:pPr>
        <w:pStyle w:val="BodyText"/>
        <w:spacing w:before="9"/>
        <w:rPr>
          <w:sz w:val="21"/>
        </w:rPr>
      </w:pPr>
    </w:p>
    <w:p>
      <w:pPr>
        <w:pStyle w:val="BodyText"/>
        <w:ind w:left="132"/>
        <w:jc w:val="both"/>
      </w:pPr>
      <w:r>
        <w:rPr/>
        <w:t>15 November 2018</w:t>
      </w:r>
    </w:p>
    <w:p>
      <w:pPr>
        <w:pStyle w:val="BodyText"/>
        <w:rPr>
          <w:sz w:val="24"/>
        </w:rPr>
      </w:pPr>
    </w:p>
    <w:p>
      <w:pPr>
        <w:pStyle w:val="BodyText"/>
        <w:rPr>
          <w:sz w:val="20"/>
        </w:rPr>
      </w:pPr>
    </w:p>
    <w:p>
      <w:pPr>
        <w:pStyle w:val="BodyText"/>
        <w:ind w:left="132"/>
        <w:jc w:val="both"/>
      </w:pPr>
      <w:r>
        <w:rPr/>
        <w:t>Dear Mr De Luca</w:t>
      </w:r>
    </w:p>
    <w:p>
      <w:pPr>
        <w:pStyle w:val="BodyText"/>
        <w:spacing w:before="2"/>
      </w:pPr>
    </w:p>
    <w:p>
      <w:pPr>
        <w:spacing w:before="1"/>
        <w:ind w:left="2950" w:right="2928" w:firstLine="0"/>
        <w:jc w:val="center"/>
        <w:rPr>
          <w:b/>
          <w:sz w:val="22"/>
        </w:rPr>
      </w:pPr>
      <w:r>
        <w:rPr>
          <w:b/>
          <w:sz w:val="22"/>
        </w:rPr>
        <w:t>Regarding Gender Inequality in the NDIS</w:t>
      </w:r>
    </w:p>
    <w:p>
      <w:pPr>
        <w:pStyle w:val="BodyText"/>
        <w:spacing w:before="1"/>
        <w:rPr>
          <w:b/>
          <w:sz w:val="25"/>
        </w:rPr>
      </w:pPr>
    </w:p>
    <w:p>
      <w:pPr>
        <w:pStyle w:val="BodyText"/>
        <w:spacing w:line="276" w:lineRule="auto" w:before="1"/>
        <w:ind w:left="132" w:right="109"/>
        <w:jc w:val="both"/>
      </w:pPr>
      <w:r>
        <w:rPr/>
        <w:t>We write collectively from Women With Disabilities Australia (WWDA),</w:t>
      </w:r>
      <w:r>
        <w:rPr>
          <w:vertAlign w:val="superscript"/>
        </w:rPr>
        <w:t>1</w:t>
      </w:r>
      <w:r>
        <w:rPr>
          <w:vertAlign w:val="baseline"/>
        </w:rPr>
        <w:t> Women With Disabilities Victoria (WDV),</w:t>
      </w:r>
      <w:r>
        <w:rPr>
          <w:vertAlign w:val="superscript"/>
        </w:rPr>
        <w:t>2</w:t>
      </w:r>
      <w:r>
        <w:rPr>
          <w:vertAlign w:val="baseline"/>
        </w:rPr>
        <w:t> Women With Disabilities Australian Capital Territory (WWDACT),</w:t>
      </w:r>
      <w:r>
        <w:rPr>
          <w:vertAlign w:val="superscript"/>
        </w:rPr>
        <w:t>3</w:t>
      </w:r>
      <w:r>
        <w:rPr>
          <w:vertAlign w:val="baseline"/>
        </w:rPr>
        <w:t> and Women With Disabilities South Australia (WWDSA)</w:t>
      </w:r>
      <w:r>
        <w:rPr>
          <w:vertAlign w:val="superscript"/>
        </w:rPr>
        <w:t>4</w:t>
      </w:r>
      <w:r>
        <w:rPr>
          <w:vertAlign w:val="baseline"/>
        </w:rPr>
        <w:t> to request an opportunity to meet with you to discuss our significant concerns regarding gender inequity in the National Disability Insurance Scheme (NDIS).</w:t>
      </w:r>
    </w:p>
    <w:p>
      <w:pPr>
        <w:pStyle w:val="BodyText"/>
        <w:spacing w:before="3"/>
        <w:rPr>
          <w:sz w:val="25"/>
        </w:rPr>
      </w:pPr>
    </w:p>
    <w:p>
      <w:pPr>
        <w:pStyle w:val="BodyText"/>
        <w:spacing w:line="278" w:lineRule="auto"/>
        <w:ind w:left="132" w:right="112"/>
        <w:jc w:val="both"/>
      </w:pPr>
      <w:r>
        <w:rPr/>
        <w:t>It is deeply concerning that across all jurisdictions, the percentage of female participants in the NDIS remains at less than 39%, with some jurisdictions having even lower figures.</w:t>
      </w:r>
    </w:p>
    <w:p>
      <w:pPr>
        <w:pStyle w:val="BodyText"/>
        <w:spacing w:before="10"/>
        <w:rPr>
          <w:sz w:val="24"/>
        </w:rPr>
      </w:pPr>
    </w:p>
    <w:p>
      <w:pPr>
        <w:pStyle w:val="BodyText"/>
        <w:spacing w:line="276" w:lineRule="auto"/>
        <w:ind w:left="132" w:right="104"/>
        <w:jc w:val="both"/>
      </w:pPr>
      <w:r>
        <w:rPr/>
        <w:t>We know from over three decades of evidence-based research, that women and girls with disability experience multiple and intersecting forms of discrimination and are overwhelmingly more disadvantaged than men and boys with disability in similar circumstances. Like many societies, Australian</w:t>
      </w:r>
      <w:r>
        <w:rPr>
          <w:spacing w:val="-8"/>
        </w:rPr>
        <w:t> </w:t>
      </w:r>
      <w:r>
        <w:rPr/>
        <w:t>society</w:t>
      </w:r>
      <w:r>
        <w:rPr>
          <w:spacing w:val="-8"/>
        </w:rPr>
        <w:t> </w:t>
      </w:r>
      <w:r>
        <w:rPr/>
        <w:t>is</w:t>
      </w:r>
      <w:r>
        <w:rPr>
          <w:spacing w:val="-8"/>
        </w:rPr>
        <w:t> </w:t>
      </w:r>
      <w:r>
        <w:rPr/>
        <w:t>permeated</w:t>
      </w:r>
      <w:r>
        <w:rPr>
          <w:spacing w:val="-8"/>
        </w:rPr>
        <w:t> </w:t>
      </w:r>
      <w:r>
        <w:rPr/>
        <w:t>by</w:t>
      </w:r>
      <w:r>
        <w:rPr>
          <w:spacing w:val="-8"/>
        </w:rPr>
        <w:t> </w:t>
      </w:r>
      <w:r>
        <w:rPr/>
        <w:t>gender</w:t>
      </w:r>
      <w:r>
        <w:rPr>
          <w:spacing w:val="-8"/>
        </w:rPr>
        <w:t> </w:t>
      </w:r>
      <w:r>
        <w:rPr/>
        <w:t>differences</w:t>
      </w:r>
      <w:r>
        <w:rPr>
          <w:spacing w:val="-8"/>
        </w:rPr>
        <w:t> </w:t>
      </w:r>
      <w:r>
        <w:rPr/>
        <w:t>and</w:t>
      </w:r>
      <w:r>
        <w:rPr>
          <w:spacing w:val="-8"/>
        </w:rPr>
        <w:t> </w:t>
      </w:r>
      <w:r>
        <w:rPr/>
        <w:t>gender</w:t>
      </w:r>
      <w:r>
        <w:rPr>
          <w:spacing w:val="-7"/>
        </w:rPr>
        <w:t> </w:t>
      </w:r>
      <w:r>
        <w:rPr/>
        <w:t>inequalities.</w:t>
      </w:r>
      <w:r>
        <w:rPr>
          <w:spacing w:val="-8"/>
        </w:rPr>
        <w:t> </w:t>
      </w:r>
      <w:r>
        <w:rPr/>
        <w:t>The</w:t>
      </w:r>
      <w:r>
        <w:rPr>
          <w:spacing w:val="-8"/>
        </w:rPr>
        <w:t> </w:t>
      </w:r>
      <w:r>
        <w:rPr/>
        <w:t>outcomes</w:t>
      </w:r>
      <w:r>
        <w:rPr>
          <w:spacing w:val="-8"/>
        </w:rPr>
        <w:t> </w:t>
      </w:r>
      <w:r>
        <w:rPr/>
        <w:t>of</w:t>
      </w:r>
      <w:r>
        <w:rPr>
          <w:spacing w:val="-8"/>
        </w:rPr>
        <w:t> </w:t>
      </w:r>
      <w:r>
        <w:rPr/>
        <w:t>public policy in Australia are not equal for men and women, and this is profoundly worse when we examine the</w:t>
      </w:r>
      <w:r>
        <w:rPr>
          <w:spacing w:val="-5"/>
        </w:rPr>
        <w:t> </w:t>
      </w:r>
      <w:r>
        <w:rPr/>
        <w:t>gender</w:t>
      </w:r>
      <w:r>
        <w:rPr>
          <w:spacing w:val="-5"/>
        </w:rPr>
        <w:t> </w:t>
      </w:r>
      <w:r>
        <w:rPr/>
        <w:t>inequalities</w:t>
      </w:r>
      <w:r>
        <w:rPr>
          <w:spacing w:val="-5"/>
        </w:rPr>
        <w:t> </w:t>
      </w:r>
      <w:r>
        <w:rPr/>
        <w:t>between</w:t>
      </w:r>
      <w:r>
        <w:rPr>
          <w:spacing w:val="-5"/>
        </w:rPr>
        <w:t> </w:t>
      </w:r>
      <w:r>
        <w:rPr/>
        <w:t>men</w:t>
      </w:r>
      <w:r>
        <w:rPr>
          <w:spacing w:val="-5"/>
        </w:rPr>
        <w:t> </w:t>
      </w:r>
      <w:r>
        <w:rPr/>
        <w:t>and</w:t>
      </w:r>
      <w:r>
        <w:rPr>
          <w:spacing w:val="-5"/>
        </w:rPr>
        <w:t> </w:t>
      </w:r>
      <w:r>
        <w:rPr/>
        <w:t>boys</w:t>
      </w:r>
      <w:r>
        <w:rPr>
          <w:spacing w:val="-5"/>
        </w:rPr>
        <w:t> </w:t>
      </w:r>
      <w:r>
        <w:rPr/>
        <w:t>with</w:t>
      </w:r>
      <w:r>
        <w:rPr>
          <w:spacing w:val="-5"/>
        </w:rPr>
        <w:t> </w:t>
      </w:r>
      <w:r>
        <w:rPr/>
        <w:t>disability,</w:t>
      </w:r>
      <w:r>
        <w:rPr>
          <w:spacing w:val="-5"/>
        </w:rPr>
        <w:t> </w:t>
      </w:r>
      <w:r>
        <w:rPr/>
        <w:t>and</w:t>
      </w:r>
      <w:r>
        <w:rPr>
          <w:spacing w:val="-5"/>
        </w:rPr>
        <w:t> </w:t>
      </w:r>
      <w:r>
        <w:rPr/>
        <w:t>women</w:t>
      </w:r>
      <w:r>
        <w:rPr>
          <w:spacing w:val="-5"/>
        </w:rPr>
        <w:t> </w:t>
      </w:r>
      <w:r>
        <w:rPr/>
        <w:t>and</w:t>
      </w:r>
      <w:r>
        <w:rPr>
          <w:spacing w:val="-5"/>
        </w:rPr>
        <w:t> </w:t>
      </w:r>
      <w:r>
        <w:rPr/>
        <w:t>girls</w:t>
      </w:r>
      <w:r>
        <w:rPr>
          <w:spacing w:val="-5"/>
        </w:rPr>
        <w:t> </w:t>
      </w:r>
      <w:r>
        <w:rPr/>
        <w:t>with</w:t>
      </w:r>
      <w:r>
        <w:rPr>
          <w:spacing w:val="-5"/>
        </w:rPr>
        <w:t> </w:t>
      </w:r>
      <w:r>
        <w:rPr/>
        <w:t>disability.</w:t>
      </w:r>
      <w:r>
        <w:rPr>
          <w:vertAlign w:val="superscript"/>
        </w:rPr>
        <w:t>5</w:t>
      </w:r>
      <w:r>
        <w:rPr>
          <w:spacing w:val="-7"/>
          <w:vertAlign w:val="baseline"/>
        </w:rPr>
        <w:t> </w:t>
      </w:r>
      <w:r>
        <w:rPr>
          <w:vertAlign w:val="baseline"/>
        </w:rPr>
        <w:t>We have attached, for your reference, a brief factsheet which highlights some of these</w:t>
      </w:r>
      <w:r>
        <w:rPr>
          <w:spacing w:val="-34"/>
          <w:vertAlign w:val="baseline"/>
        </w:rPr>
        <w:t> </w:t>
      </w:r>
      <w:r>
        <w:rPr>
          <w:vertAlign w:val="baseline"/>
        </w:rPr>
        <w:t>inequalities.</w:t>
      </w:r>
    </w:p>
    <w:p>
      <w:pPr>
        <w:pStyle w:val="BodyText"/>
        <w:spacing w:before="4"/>
        <w:rPr>
          <w:sz w:val="25"/>
        </w:rPr>
      </w:pPr>
    </w:p>
    <w:p>
      <w:pPr>
        <w:pStyle w:val="BodyText"/>
        <w:spacing w:line="276" w:lineRule="auto" w:before="1"/>
        <w:ind w:left="132" w:right="108"/>
        <w:jc w:val="both"/>
      </w:pPr>
      <w:r>
        <w:rPr/>
        <w:t>United Nations human rights treaty monitoring bodies have repeatedly expressed concerns to successive</w:t>
      </w:r>
      <w:r>
        <w:rPr>
          <w:spacing w:val="-12"/>
        </w:rPr>
        <w:t> </w:t>
      </w:r>
      <w:r>
        <w:rPr/>
        <w:t>Australian</w:t>
      </w:r>
      <w:r>
        <w:rPr>
          <w:spacing w:val="-12"/>
        </w:rPr>
        <w:t> </w:t>
      </w:r>
      <w:r>
        <w:rPr/>
        <w:t>Governments</w:t>
      </w:r>
      <w:r>
        <w:rPr>
          <w:spacing w:val="-12"/>
        </w:rPr>
        <w:t> </w:t>
      </w:r>
      <w:r>
        <w:rPr/>
        <w:t>regarding</w:t>
      </w:r>
      <w:r>
        <w:rPr>
          <w:spacing w:val="-12"/>
        </w:rPr>
        <w:t> </w:t>
      </w:r>
      <w:r>
        <w:rPr/>
        <w:t>the</w:t>
      </w:r>
      <w:r>
        <w:rPr>
          <w:spacing w:val="-12"/>
        </w:rPr>
        <w:t> </w:t>
      </w:r>
      <w:r>
        <w:rPr/>
        <w:t>lack</w:t>
      </w:r>
      <w:r>
        <w:rPr>
          <w:spacing w:val="-12"/>
        </w:rPr>
        <w:t> </w:t>
      </w:r>
      <w:r>
        <w:rPr/>
        <w:t>of</w:t>
      </w:r>
      <w:r>
        <w:rPr>
          <w:spacing w:val="-10"/>
        </w:rPr>
        <w:t> </w:t>
      </w:r>
      <w:r>
        <w:rPr/>
        <w:t>targeted,</w:t>
      </w:r>
      <w:r>
        <w:rPr>
          <w:spacing w:val="-11"/>
        </w:rPr>
        <w:t> </w:t>
      </w:r>
      <w:r>
        <w:rPr/>
        <w:t>extra</w:t>
      </w:r>
      <w:r>
        <w:rPr>
          <w:spacing w:val="-12"/>
        </w:rPr>
        <w:t> </w:t>
      </w:r>
      <w:r>
        <w:rPr/>
        <w:t>measures</w:t>
      </w:r>
      <w:r>
        <w:rPr>
          <w:spacing w:val="-12"/>
        </w:rPr>
        <w:t> </w:t>
      </w:r>
      <w:r>
        <w:rPr/>
        <w:t>to</w:t>
      </w:r>
      <w:r>
        <w:rPr>
          <w:spacing w:val="-12"/>
        </w:rPr>
        <w:t> </w:t>
      </w:r>
      <w:r>
        <w:rPr/>
        <w:t>address</w:t>
      </w:r>
      <w:r>
        <w:rPr>
          <w:spacing w:val="-12"/>
        </w:rPr>
        <w:t> </w:t>
      </w:r>
      <w:r>
        <w:rPr/>
        <w:t>the</w:t>
      </w:r>
      <w:r>
        <w:rPr>
          <w:spacing w:val="-12"/>
        </w:rPr>
        <w:t> </w:t>
      </w:r>
      <w:r>
        <w:rPr/>
        <w:t>poor status of women and girls with disability in Australia.</w:t>
      </w:r>
      <w:r>
        <w:rPr>
          <w:vertAlign w:val="superscript"/>
        </w:rPr>
        <w:t>6</w:t>
      </w:r>
      <w:r>
        <w:rPr>
          <w:vertAlign w:val="baseline"/>
        </w:rPr>
        <w:t> The </w:t>
      </w:r>
      <w:r>
        <w:rPr>
          <w:i/>
          <w:vertAlign w:val="baseline"/>
        </w:rPr>
        <w:t>Committee on the Rights of Persons with </w:t>
      </w:r>
      <w:r>
        <w:rPr>
          <w:i/>
          <w:vertAlign w:val="baseline"/>
        </w:rPr>
        <w:t>Disabilities </w:t>
      </w:r>
      <w:r>
        <w:rPr>
          <w:vertAlign w:val="baseline"/>
        </w:rPr>
        <w:t>(CRPD), through CRPD General Comment 3 [Article 6: Women with Disabilities]</w:t>
      </w:r>
      <w:r>
        <w:rPr>
          <w:vertAlign w:val="superscript"/>
        </w:rPr>
        <w:t>7</w:t>
      </w:r>
      <w:r>
        <w:rPr>
          <w:vertAlign w:val="baseline"/>
        </w:rPr>
        <w:t> have provided clear and authoritative guidance to States Parties (including Australia) regarding the imperative to employ targeted, extra and specific measures to ensure that women and girls with disability can realise and enjoy their rights on an equal basis as others.</w:t>
      </w:r>
      <w:r>
        <w:rPr>
          <w:vertAlign w:val="superscript"/>
        </w:rPr>
        <w:t>8</w:t>
      </w:r>
      <w:r>
        <w:rPr>
          <w:vertAlign w:val="baseline"/>
        </w:rPr>
        <w:t> This includes their right to access and receive services and programs – including through the</w:t>
      </w:r>
      <w:r>
        <w:rPr>
          <w:spacing w:val="-15"/>
          <w:vertAlign w:val="baseline"/>
        </w:rPr>
        <w:t> </w:t>
      </w:r>
      <w:r>
        <w:rPr>
          <w:vertAlign w:val="baseline"/>
        </w:rPr>
        <w:t>NDIS.</w:t>
      </w:r>
    </w:p>
    <w:p>
      <w:pPr>
        <w:pStyle w:val="BodyText"/>
        <w:spacing w:before="5"/>
        <w:rPr>
          <w:sz w:val="25"/>
        </w:rPr>
      </w:pPr>
    </w:p>
    <w:p>
      <w:pPr>
        <w:spacing w:line="273" w:lineRule="auto" w:before="0"/>
        <w:ind w:left="132" w:right="109" w:firstLine="0"/>
        <w:jc w:val="both"/>
        <w:rPr>
          <w:sz w:val="22"/>
        </w:rPr>
      </w:pPr>
      <w:r>
        <w:rPr>
          <w:sz w:val="22"/>
        </w:rPr>
        <w:t>A clear object of the NDIS Act (2013) is to give effect to Australia’s obligations under the </w:t>
      </w:r>
      <w:r>
        <w:rPr>
          <w:i/>
          <w:sz w:val="22"/>
        </w:rPr>
        <w:t>Convention </w:t>
      </w:r>
      <w:r>
        <w:rPr>
          <w:i/>
          <w:sz w:val="22"/>
        </w:rPr>
        <w:t>on the Rights of Persons with Disabilities </w:t>
      </w:r>
      <w:r>
        <w:rPr>
          <w:sz w:val="22"/>
        </w:rPr>
        <w:t>(CRPD). The CRPD is unequivocal on gender equality. It</w:t>
      </w:r>
    </w:p>
    <w:p>
      <w:pPr>
        <w:spacing w:after="0" w:line="273" w:lineRule="auto"/>
        <w:jc w:val="both"/>
        <w:rPr>
          <w:sz w:val="22"/>
        </w:rPr>
        <w:sectPr>
          <w:footerReference w:type="default" r:id="rId5"/>
          <w:type w:val="continuous"/>
          <w:pgSz w:w="11900" w:h="16840"/>
          <w:pgMar w:footer="792" w:top="1280" w:bottom="980" w:left="1000" w:right="740"/>
          <w:pgNumType w:start="1"/>
        </w:sectPr>
      </w:pPr>
    </w:p>
    <w:p>
      <w:pPr>
        <w:pStyle w:val="BodyText"/>
        <w:spacing w:line="278" w:lineRule="auto" w:before="76"/>
        <w:ind w:left="132"/>
      </w:pPr>
      <w:r>
        <w:rPr/>
        <w:t>recognises</w:t>
      </w:r>
      <w:r>
        <w:rPr>
          <w:spacing w:val="-19"/>
        </w:rPr>
        <w:t> </w:t>
      </w:r>
      <w:r>
        <w:rPr/>
        <w:t>gender</w:t>
      </w:r>
      <w:r>
        <w:rPr>
          <w:spacing w:val="-19"/>
        </w:rPr>
        <w:t> </w:t>
      </w:r>
      <w:r>
        <w:rPr/>
        <w:t>as</w:t>
      </w:r>
      <w:r>
        <w:rPr>
          <w:spacing w:val="-19"/>
        </w:rPr>
        <w:t> </w:t>
      </w:r>
      <w:r>
        <w:rPr/>
        <w:t>one</w:t>
      </w:r>
      <w:r>
        <w:rPr>
          <w:spacing w:val="-18"/>
        </w:rPr>
        <w:t> </w:t>
      </w:r>
      <w:r>
        <w:rPr/>
        <w:t>of</w:t>
      </w:r>
      <w:r>
        <w:rPr>
          <w:spacing w:val="-19"/>
        </w:rPr>
        <w:t> </w:t>
      </w:r>
      <w:r>
        <w:rPr/>
        <w:t>the</w:t>
      </w:r>
      <w:r>
        <w:rPr>
          <w:spacing w:val="-19"/>
        </w:rPr>
        <w:t> </w:t>
      </w:r>
      <w:r>
        <w:rPr/>
        <w:t>most</w:t>
      </w:r>
      <w:r>
        <w:rPr>
          <w:spacing w:val="-17"/>
        </w:rPr>
        <w:t> </w:t>
      </w:r>
      <w:r>
        <w:rPr/>
        <w:t>important</w:t>
      </w:r>
      <w:r>
        <w:rPr>
          <w:spacing w:val="-18"/>
        </w:rPr>
        <w:t> </w:t>
      </w:r>
      <w:r>
        <w:rPr/>
        <w:t>categories</w:t>
      </w:r>
      <w:r>
        <w:rPr>
          <w:spacing w:val="-19"/>
        </w:rPr>
        <w:t> </w:t>
      </w:r>
      <w:r>
        <w:rPr/>
        <w:t>of</w:t>
      </w:r>
      <w:r>
        <w:rPr>
          <w:spacing w:val="-19"/>
        </w:rPr>
        <w:t> </w:t>
      </w:r>
      <w:r>
        <w:rPr/>
        <w:t>social</w:t>
      </w:r>
      <w:r>
        <w:rPr>
          <w:spacing w:val="-18"/>
        </w:rPr>
        <w:t> </w:t>
      </w:r>
      <w:r>
        <w:rPr/>
        <w:t>organisation,</w:t>
      </w:r>
      <w:r>
        <w:rPr>
          <w:spacing w:val="-19"/>
        </w:rPr>
        <w:t> </w:t>
      </w:r>
      <w:r>
        <w:rPr/>
        <w:t>and</w:t>
      </w:r>
      <w:r>
        <w:rPr>
          <w:spacing w:val="-19"/>
        </w:rPr>
        <w:t> </w:t>
      </w:r>
      <w:r>
        <w:rPr/>
        <w:t>prioritises</w:t>
      </w:r>
      <w:r>
        <w:rPr>
          <w:spacing w:val="-18"/>
        </w:rPr>
        <w:t> </w:t>
      </w:r>
      <w:r>
        <w:rPr/>
        <w:t>women and girls with disability as a group warranting specific attention and additional</w:t>
      </w:r>
      <w:r>
        <w:rPr>
          <w:spacing w:val="-25"/>
        </w:rPr>
        <w:t> </w:t>
      </w:r>
      <w:r>
        <w:rPr/>
        <w:t>measures.</w:t>
      </w:r>
      <w:r>
        <w:rPr>
          <w:vertAlign w:val="superscript"/>
        </w:rPr>
        <w:t>9</w:t>
      </w:r>
    </w:p>
    <w:p>
      <w:pPr>
        <w:pStyle w:val="BodyText"/>
        <w:spacing w:before="10"/>
        <w:rPr>
          <w:sz w:val="24"/>
        </w:rPr>
      </w:pPr>
    </w:p>
    <w:p>
      <w:pPr>
        <w:pStyle w:val="BodyText"/>
        <w:spacing w:line="278" w:lineRule="auto"/>
        <w:ind w:left="132"/>
      </w:pPr>
      <w:r>
        <w:rPr/>
        <w:t>In light of our collective concerns regarding the gender inequity in the NDIS, we would welcome the opportunity to meet with you and the Scheme Actuary to have a dialogue regarding:</w:t>
      </w:r>
    </w:p>
    <w:p>
      <w:pPr>
        <w:pStyle w:val="BodyText"/>
        <w:spacing w:before="11"/>
        <w:rPr>
          <w:sz w:val="24"/>
        </w:rPr>
      </w:pPr>
    </w:p>
    <w:p>
      <w:pPr>
        <w:pStyle w:val="ListParagraph"/>
        <w:numPr>
          <w:ilvl w:val="0"/>
          <w:numId w:val="1"/>
        </w:numPr>
        <w:tabs>
          <w:tab w:pos="852" w:val="left" w:leader="none"/>
          <w:tab w:pos="853" w:val="left" w:leader="none"/>
        </w:tabs>
        <w:spacing w:line="240" w:lineRule="auto" w:before="0" w:after="0"/>
        <w:ind w:left="852" w:right="0" w:hanging="360"/>
        <w:jc w:val="left"/>
        <w:rPr>
          <w:sz w:val="22"/>
        </w:rPr>
      </w:pPr>
      <w:r>
        <w:rPr>
          <w:sz w:val="22"/>
        </w:rPr>
        <w:t>NDIS gender disaggregated</w:t>
      </w:r>
      <w:r>
        <w:rPr>
          <w:spacing w:val="-4"/>
          <w:sz w:val="22"/>
        </w:rPr>
        <w:t> </w:t>
      </w:r>
      <w:r>
        <w:rPr>
          <w:sz w:val="22"/>
        </w:rPr>
        <w:t>data;</w:t>
      </w:r>
    </w:p>
    <w:p>
      <w:pPr>
        <w:pStyle w:val="ListParagraph"/>
        <w:numPr>
          <w:ilvl w:val="0"/>
          <w:numId w:val="1"/>
        </w:numPr>
        <w:tabs>
          <w:tab w:pos="852" w:val="left" w:leader="none"/>
          <w:tab w:pos="853" w:val="left" w:leader="none"/>
        </w:tabs>
        <w:spacing w:line="268" w:lineRule="auto" w:before="37" w:after="0"/>
        <w:ind w:left="852" w:right="110" w:hanging="360"/>
        <w:jc w:val="left"/>
        <w:rPr>
          <w:sz w:val="22"/>
        </w:rPr>
      </w:pPr>
      <w:r>
        <w:rPr>
          <w:sz w:val="22"/>
        </w:rPr>
        <w:t>key issues experienced by women and girls with disability in Australia, including the gender inequalities between men and boys with disability and women and girls with</w:t>
      </w:r>
      <w:r>
        <w:rPr>
          <w:spacing w:val="-27"/>
          <w:sz w:val="22"/>
        </w:rPr>
        <w:t> </w:t>
      </w:r>
      <w:r>
        <w:rPr>
          <w:sz w:val="22"/>
        </w:rPr>
        <w:t>disability;</w:t>
      </w:r>
    </w:p>
    <w:p>
      <w:pPr>
        <w:pStyle w:val="ListParagraph"/>
        <w:numPr>
          <w:ilvl w:val="0"/>
          <w:numId w:val="1"/>
        </w:numPr>
        <w:tabs>
          <w:tab w:pos="852" w:val="left" w:leader="none"/>
          <w:tab w:pos="853" w:val="left" w:leader="none"/>
        </w:tabs>
        <w:spacing w:line="240" w:lineRule="auto" w:before="10" w:after="0"/>
        <w:ind w:left="852" w:right="0" w:hanging="360"/>
        <w:jc w:val="left"/>
        <w:rPr>
          <w:sz w:val="22"/>
        </w:rPr>
      </w:pPr>
      <w:r>
        <w:rPr>
          <w:sz w:val="22"/>
        </w:rPr>
        <w:t>solutions</w:t>
      </w:r>
      <w:r>
        <w:rPr>
          <w:spacing w:val="-9"/>
          <w:sz w:val="22"/>
        </w:rPr>
        <w:t> </w:t>
      </w:r>
      <w:r>
        <w:rPr>
          <w:sz w:val="22"/>
        </w:rPr>
        <w:t>to</w:t>
      </w:r>
      <w:r>
        <w:rPr>
          <w:spacing w:val="-9"/>
          <w:sz w:val="22"/>
        </w:rPr>
        <w:t> </w:t>
      </w:r>
      <w:r>
        <w:rPr>
          <w:sz w:val="22"/>
        </w:rPr>
        <w:t>ensure</w:t>
      </w:r>
      <w:r>
        <w:rPr>
          <w:spacing w:val="-9"/>
          <w:sz w:val="22"/>
        </w:rPr>
        <w:t> </w:t>
      </w:r>
      <w:r>
        <w:rPr>
          <w:sz w:val="22"/>
        </w:rPr>
        <w:t>the</w:t>
      </w:r>
      <w:r>
        <w:rPr>
          <w:spacing w:val="-9"/>
          <w:sz w:val="22"/>
        </w:rPr>
        <w:t> </w:t>
      </w:r>
      <w:r>
        <w:rPr>
          <w:sz w:val="22"/>
        </w:rPr>
        <w:t>NDIS</w:t>
      </w:r>
      <w:r>
        <w:rPr>
          <w:spacing w:val="-10"/>
          <w:sz w:val="22"/>
        </w:rPr>
        <w:t> </w:t>
      </w:r>
      <w:r>
        <w:rPr>
          <w:sz w:val="22"/>
        </w:rPr>
        <w:t>is</w:t>
      </w:r>
      <w:r>
        <w:rPr>
          <w:spacing w:val="-9"/>
          <w:sz w:val="22"/>
        </w:rPr>
        <w:t> </w:t>
      </w:r>
      <w:r>
        <w:rPr>
          <w:sz w:val="22"/>
        </w:rPr>
        <w:t>reaching</w:t>
      </w:r>
      <w:r>
        <w:rPr>
          <w:spacing w:val="-9"/>
          <w:sz w:val="22"/>
        </w:rPr>
        <w:t> </w:t>
      </w:r>
      <w:r>
        <w:rPr>
          <w:sz w:val="22"/>
        </w:rPr>
        <w:t>and</w:t>
      </w:r>
      <w:r>
        <w:rPr>
          <w:spacing w:val="-10"/>
          <w:sz w:val="22"/>
        </w:rPr>
        <w:t> </w:t>
      </w:r>
      <w:r>
        <w:rPr>
          <w:sz w:val="22"/>
        </w:rPr>
        <w:t>responsive</w:t>
      </w:r>
      <w:r>
        <w:rPr>
          <w:spacing w:val="-10"/>
          <w:sz w:val="22"/>
        </w:rPr>
        <w:t> </w:t>
      </w:r>
      <w:r>
        <w:rPr>
          <w:sz w:val="22"/>
        </w:rPr>
        <w:t>to</w:t>
      </w:r>
      <w:r>
        <w:rPr>
          <w:spacing w:val="-9"/>
          <w:sz w:val="22"/>
        </w:rPr>
        <w:t> </w:t>
      </w:r>
      <w:r>
        <w:rPr>
          <w:sz w:val="22"/>
        </w:rPr>
        <w:t>women</w:t>
      </w:r>
      <w:r>
        <w:rPr>
          <w:spacing w:val="-10"/>
          <w:sz w:val="22"/>
        </w:rPr>
        <w:t> </w:t>
      </w:r>
      <w:r>
        <w:rPr>
          <w:sz w:val="22"/>
        </w:rPr>
        <w:t>and</w:t>
      </w:r>
      <w:r>
        <w:rPr>
          <w:spacing w:val="-10"/>
          <w:sz w:val="22"/>
        </w:rPr>
        <w:t> </w:t>
      </w:r>
      <w:r>
        <w:rPr>
          <w:sz w:val="22"/>
        </w:rPr>
        <w:t>girls</w:t>
      </w:r>
      <w:r>
        <w:rPr>
          <w:spacing w:val="-8"/>
          <w:sz w:val="22"/>
        </w:rPr>
        <w:t> </w:t>
      </w:r>
      <w:r>
        <w:rPr>
          <w:sz w:val="22"/>
        </w:rPr>
        <w:t>with</w:t>
      </w:r>
      <w:r>
        <w:rPr>
          <w:spacing w:val="-10"/>
          <w:sz w:val="22"/>
        </w:rPr>
        <w:t> </w:t>
      </w:r>
      <w:r>
        <w:rPr>
          <w:sz w:val="22"/>
        </w:rPr>
        <w:t>disability;</w:t>
      </w:r>
      <w:r>
        <w:rPr>
          <w:spacing w:val="-9"/>
          <w:sz w:val="22"/>
        </w:rPr>
        <w:t> </w:t>
      </w:r>
      <w:r>
        <w:rPr>
          <w:sz w:val="22"/>
        </w:rPr>
        <w:t>and;</w:t>
      </w:r>
    </w:p>
    <w:p>
      <w:pPr>
        <w:pStyle w:val="ListParagraph"/>
        <w:numPr>
          <w:ilvl w:val="0"/>
          <w:numId w:val="1"/>
        </w:numPr>
        <w:tabs>
          <w:tab w:pos="852" w:val="left" w:leader="none"/>
          <w:tab w:pos="853" w:val="left" w:leader="none"/>
        </w:tabs>
        <w:spacing w:line="240" w:lineRule="auto" w:before="38" w:after="0"/>
        <w:ind w:left="852" w:right="0" w:hanging="360"/>
        <w:jc w:val="left"/>
        <w:rPr>
          <w:sz w:val="22"/>
        </w:rPr>
      </w:pPr>
      <w:r>
        <w:rPr>
          <w:sz w:val="22"/>
        </w:rPr>
        <w:t>the need for the development of an NDIS Gender</w:t>
      </w:r>
      <w:r>
        <w:rPr>
          <w:spacing w:val="-12"/>
          <w:sz w:val="22"/>
        </w:rPr>
        <w:t> </w:t>
      </w:r>
      <w:r>
        <w:rPr>
          <w:sz w:val="22"/>
        </w:rPr>
        <w:t>Strategy.</w:t>
      </w:r>
    </w:p>
    <w:p>
      <w:pPr>
        <w:pStyle w:val="BodyText"/>
        <w:spacing w:before="4"/>
        <w:rPr>
          <w:sz w:val="28"/>
        </w:rPr>
      </w:pPr>
    </w:p>
    <w:p>
      <w:pPr>
        <w:pStyle w:val="BodyText"/>
        <w:spacing w:line="552" w:lineRule="auto"/>
        <w:ind w:left="132" w:right="114"/>
      </w:pPr>
      <w:r>
        <w:rPr/>
        <w:t>This letter has been endorsed by the organisations and individuals listed in the Annexure to this letter. We look forward to your earliest response.</w:t>
      </w:r>
    </w:p>
    <w:p>
      <w:pPr>
        <w:pStyle w:val="BodyText"/>
        <w:spacing w:line="251" w:lineRule="exact"/>
        <w:ind w:left="132"/>
      </w:pPr>
      <w:r>
        <w:rPr/>
        <w:t>Yours Sincerely,</w:t>
      </w:r>
    </w:p>
    <w:p>
      <w:pPr>
        <w:pStyle w:val="BodyText"/>
        <w:rPr>
          <w:sz w:val="20"/>
        </w:rPr>
      </w:pPr>
    </w:p>
    <w:p>
      <w:pPr>
        <w:pStyle w:val="BodyText"/>
        <w:rPr>
          <w:sz w:val="20"/>
        </w:rPr>
      </w:pPr>
    </w:p>
    <w:p>
      <w:pPr>
        <w:pStyle w:val="BodyText"/>
        <w:spacing w:before="3"/>
        <w:rPr>
          <w:sz w:val="10"/>
        </w:rPr>
      </w:pPr>
      <w:r>
        <w:rPr/>
        <w:drawing>
          <wp:anchor distT="0" distB="0" distL="0" distR="0" allowOverlap="1" layoutInCell="1" locked="0" behindDoc="0" simplePos="0" relativeHeight="1">
            <wp:simplePos x="0" y="0"/>
            <wp:positionH relativeFrom="page">
              <wp:posOffset>720088</wp:posOffset>
            </wp:positionH>
            <wp:positionV relativeFrom="paragraph">
              <wp:posOffset>100116</wp:posOffset>
            </wp:positionV>
            <wp:extent cx="1300642" cy="477774"/>
            <wp:effectExtent l="0" t="0" r="0" b="0"/>
            <wp:wrapTopAndBottom/>
            <wp:docPr id="9" name="image5.png" descr=""/>
            <wp:cNvGraphicFramePr>
              <a:graphicFrameLocks noChangeAspect="1"/>
            </wp:cNvGraphicFramePr>
            <a:graphic>
              <a:graphicData uri="http://schemas.openxmlformats.org/drawingml/2006/picture">
                <pic:pic>
                  <pic:nvPicPr>
                    <pic:cNvPr id="10" name="image5.png"/>
                    <pic:cNvPicPr/>
                  </pic:nvPicPr>
                  <pic:blipFill>
                    <a:blip r:embed="rId11" cstate="print"/>
                    <a:stretch>
                      <a:fillRect/>
                    </a:stretch>
                  </pic:blipFill>
                  <pic:spPr>
                    <a:xfrm>
                      <a:off x="0" y="0"/>
                      <a:ext cx="1300642" cy="477774"/>
                    </a:xfrm>
                    <a:prstGeom prst="rect">
                      <a:avLst/>
                    </a:prstGeom>
                  </pic:spPr>
                </pic:pic>
              </a:graphicData>
            </a:graphic>
          </wp:anchor>
        </w:drawing>
      </w:r>
    </w:p>
    <w:p>
      <w:pPr>
        <w:pStyle w:val="BodyText"/>
        <w:spacing w:before="1"/>
      </w:pPr>
    </w:p>
    <w:p>
      <w:pPr>
        <w:pStyle w:val="BodyText"/>
        <w:ind w:left="132" w:right="8112"/>
      </w:pPr>
      <w:r>
        <w:rPr/>
        <w:t>Carolyn Frohmader Executive Director</w:t>
      </w:r>
    </w:p>
    <w:p>
      <w:pPr>
        <w:pStyle w:val="BodyText"/>
        <w:spacing w:before="7"/>
        <w:rPr>
          <w:sz w:val="25"/>
        </w:rPr>
      </w:pPr>
    </w:p>
    <w:p>
      <w:pPr>
        <w:spacing w:line="247" w:lineRule="auto" w:before="0"/>
        <w:ind w:left="132" w:right="6512" w:firstLine="0"/>
        <w:jc w:val="left"/>
        <w:rPr>
          <w:sz w:val="16"/>
        </w:rPr>
      </w:pPr>
      <w:r>
        <w:rPr>
          <w:sz w:val="16"/>
        </w:rPr>
        <w:t>Finalist, 100 Women of Influence Awards 2015 Australian Human Rights Award (Individual) 2013 State Finalist Australian of the Year 2010 Inductee, Tasmanian Women’s Honour Roll 2009</w:t>
      </w:r>
    </w:p>
    <w:p>
      <w:pPr>
        <w:spacing w:before="5"/>
        <w:ind w:left="132" w:right="0" w:firstLine="0"/>
        <w:jc w:val="left"/>
        <w:rPr>
          <w:sz w:val="16"/>
        </w:rPr>
      </w:pPr>
      <w:r>
        <w:rPr>
          <w:sz w:val="16"/>
        </w:rPr>
        <w:t>Australian Capital Territory Woman of the Year Award 2001</w:t>
      </w:r>
    </w:p>
    <w:p>
      <w:pPr>
        <w:pStyle w:val="BodyText"/>
        <w:spacing w:before="5"/>
        <w:rPr>
          <w:sz w:val="25"/>
        </w:rPr>
      </w:pPr>
    </w:p>
    <w:p>
      <w:pPr>
        <w:pStyle w:val="BodyText"/>
        <w:ind w:left="132"/>
      </w:pPr>
      <w:r>
        <w:rPr/>
        <w:t>For and on behalf of:</w:t>
      </w:r>
    </w:p>
    <w:p>
      <w:pPr>
        <w:pStyle w:val="BodyText"/>
        <w:spacing w:before="6"/>
        <w:rPr>
          <w:sz w:val="28"/>
        </w:rPr>
      </w:pPr>
    </w:p>
    <w:p>
      <w:pPr>
        <w:pStyle w:val="BodyText"/>
        <w:spacing w:line="251" w:lineRule="exact"/>
        <w:ind w:left="132"/>
      </w:pPr>
      <w:r>
        <w:rPr/>
        <w:t>Women With Disabilities Australia (WWDA)</w:t>
      </w:r>
    </w:p>
    <w:p>
      <w:pPr>
        <w:pStyle w:val="BodyText"/>
        <w:ind w:left="132" w:right="3749"/>
      </w:pPr>
      <w:r>
        <w:rPr/>
        <w:t>Women With Disabilities Australian Capital Territory (WWDACT) Women With Disabilities South Australia (WWDSA)</w:t>
      </w:r>
    </w:p>
    <w:p>
      <w:pPr>
        <w:pStyle w:val="BodyText"/>
        <w:spacing w:before="1"/>
        <w:ind w:left="132"/>
      </w:pPr>
      <w:r>
        <w:rPr/>
        <w:t>Women With Disabilities Victoria (WDV)</w:t>
      </w:r>
    </w:p>
    <w:p>
      <w:pPr>
        <w:spacing w:after="0"/>
        <w:sectPr>
          <w:pgSz w:w="11900" w:h="16840"/>
          <w:pgMar w:header="0" w:footer="792" w:top="780" w:bottom="980" w:left="1000" w:right="740"/>
        </w:sectPr>
      </w:pPr>
    </w:p>
    <w:p>
      <w:pPr>
        <w:pStyle w:val="Heading1"/>
        <w:spacing w:before="77"/>
      </w:pPr>
      <w:r>
        <w:rPr/>
        <w:t>List of Endorsements</w:t>
      </w:r>
    </w:p>
    <w:p>
      <w:pPr>
        <w:spacing w:after="0"/>
        <w:sectPr>
          <w:pgSz w:w="11900" w:h="16840"/>
          <w:pgMar w:header="0" w:footer="792" w:top="780" w:bottom="980" w:left="1000" w:right="740"/>
        </w:sectPr>
      </w:pPr>
    </w:p>
    <w:p>
      <w:pPr>
        <w:spacing w:before="71"/>
        <w:ind w:left="132" w:right="0" w:firstLine="0"/>
        <w:jc w:val="left"/>
        <w:rPr>
          <w:b/>
          <w:sz w:val="28"/>
        </w:rPr>
      </w:pPr>
      <w:r>
        <w:rPr>
          <w:b/>
          <w:sz w:val="28"/>
        </w:rPr>
        <w:t>Endnotes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rPr>
      </w:pPr>
      <w:r>
        <w:rPr/>
        <w:pict>
          <v:line style="position:absolute;mso-position-horizontal-relative:page;mso-position-vertical-relative:paragraph;z-index:-976;mso-wrap-distance-left:0;mso-wrap-distance-right:0" from="56.639999pt,15.557226pt" to="200.639999pt,15.557226pt" stroked="true" strokeweight=".72pt" strokecolor="#000000">
            <v:stroke dashstyle="solid"/>
            <w10:wrap type="topAndBottom"/>
          </v:line>
        </w:pict>
      </w:r>
    </w:p>
    <w:p>
      <w:pPr>
        <w:spacing w:line="187" w:lineRule="exact" w:before="75"/>
        <w:ind w:left="132" w:right="0" w:firstLine="0"/>
        <w:jc w:val="left"/>
        <w:rPr>
          <w:sz w:val="16"/>
        </w:rPr>
      </w:pPr>
      <w:r>
        <w:rPr>
          <w:position w:val="6"/>
          <w:sz w:val="10"/>
        </w:rPr>
        <w:t>1 </w:t>
      </w:r>
      <w:r>
        <w:rPr>
          <w:sz w:val="16"/>
        </w:rPr>
        <w:t>See: </w:t>
      </w:r>
      <w:hyperlink r:id="rId12">
        <w:r>
          <w:rPr>
            <w:color w:val="0000FF"/>
            <w:sz w:val="16"/>
            <w:u w:val="single" w:color="0000FF"/>
          </w:rPr>
          <w:t>http://wwda.org.au/</w:t>
        </w:r>
      </w:hyperlink>
    </w:p>
    <w:p>
      <w:pPr>
        <w:spacing w:line="185" w:lineRule="exact" w:before="0"/>
        <w:ind w:left="132" w:right="0" w:firstLine="0"/>
        <w:jc w:val="left"/>
        <w:rPr>
          <w:sz w:val="16"/>
        </w:rPr>
      </w:pPr>
      <w:r>
        <w:rPr>
          <w:position w:val="6"/>
          <w:sz w:val="10"/>
        </w:rPr>
        <w:t>2 </w:t>
      </w:r>
      <w:r>
        <w:rPr>
          <w:sz w:val="16"/>
        </w:rPr>
        <w:t>See: </w:t>
      </w:r>
      <w:r>
        <w:rPr>
          <w:color w:val="0000FF"/>
          <w:sz w:val="16"/>
          <w:u w:val="single" w:color="0000FF"/>
        </w:rPr>
        <w:t>https://</w:t>
      </w:r>
      <w:hyperlink r:id="rId13">
        <w:r>
          <w:rPr>
            <w:color w:val="0000FF"/>
            <w:sz w:val="16"/>
            <w:u w:val="single" w:color="0000FF"/>
          </w:rPr>
          <w:t>www.wdv.org.au/</w:t>
        </w:r>
      </w:hyperlink>
    </w:p>
    <w:p>
      <w:pPr>
        <w:spacing w:line="182" w:lineRule="exact" w:before="0"/>
        <w:ind w:left="132" w:right="0" w:firstLine="0"/>
        <w:jc w:val="left"/>
        <w:rPr>
          <w:sz w:val="16"/>
        </w:rPr>
      </w:pPr>
      <w:r>
        <w:rPr>
          <w:position w:val="6"/>
          <w:sz w:val="10"/>
        </w:rPr>
        <w:t>3 </w:t>
      </w:r>
      <w:r>
        <w:rPr>
          <w:sz w:val="16"/>
        </w:rPr>
        <w:t>See: </w:t>
      </w:r>
      <w:r>
        <w:rPr>
          <w:color w:val="0000FF"/>
          <w:sz w:val="16"/>
          <w:u w:val="single" w:color="0000FF"/>
        </w:rPr>
        <w:t>https://</w:t>
      </w:r>
      <w:hyperlink r:id="rId14">
        <w:r>
          <w:rPr>
            <w:color w:val="0000FF"/>
            <w:sz w:val="16"/>
            <w:u w:val="single" w:color="0000FF"/>
          </w:rPr>
          <w:t>www.wwdact.org.au/</w:t>
        </w:r>
      </w:hyperlink>
    </w:p>
    <w:p>
      <w:pPr>
        <w:spacing w:line="185" w:lineRule="exact" w:before="0"/>
        <w:ind w:left="132" w:right="0" w:firstLine="0"/>
        <w:jc w:val="left"/>
        <w:rPr>
          <w:sz w:val="16"/>
        </w:rPr>
      </w:pPr>
      <w:r>
        <w:rPr>
          <w:position w:val="6"/>
          <w:sz w:val="10"/>
        </w:rPr>
        <w:t>4 </w:t>
      </w:r>
      <w:r>
        <w:rPr>
          <w:sz w:val="16"/>
        </w:rPr>
        <w:t>See: </w:t>
      </w:r>
      <w:r>
        <w:rPr>
          <w:color w:val="0000FF"/>
          <w:sz w:val="16"/>
          <w:u w:val="single" w:color="0000FF"/>
        </w:rPr>
        <w:t>https://</w:t>
      </w:r>
      <w:hyperlink r:id="rId15">
        <w:r>
          <w:rPr>
            <w:color w:val="0000FF"/>
            <w:sz w:val="16"/>
            <w:u w:val="single" w:color="0000FF"/>
          </w:rPr>
          <w:t>www.facebook.com/Women-With-Disabilities-South-Australia-190331824319014/</w:t>
        </w:r>
      </w:hyperlink>
    </w:p>
    <w:p>
      <w:pPr>
        <w:spacing w:line="185" w:lineRule="exact" w:before="0"/>
        <w:ind w:left="132" w:right="0" w:firstLine="0"/>
        <w:jc w:val="left"/>
        <w:rPr>
          <w:sz w:val="16"/>
        </w:rPr>
      </w:pPr>
      <w:r>
        <w:rPr>
          <w:position w:val="6"/>
          <w:sz w:val="10"/>
        </w:rPr>
        <w:t>5 </w:t>
      </w:r>
      <w:r>
        <w:rPr>
          <w:sz w:val="16"/>
        </w:rPr>
        <w:t>See for eg: </w:t>
      </w:r>
      <w:hyperlink r:id="rId16">
        <w:r>
          <w:rPr>
            <w:color w:val="0000FF"/>
            <w:sz w:val="16"/>
            <w:u w:val="single" w:color="0000FF"/>
          </w:rPr>
          <w:t>http://wwda.org.au/about/snapshot/</w:t>
        </w:r>
      </w:hyperlink>
    </w:p>
    <w:p>
      <w:pPr>
        <w:spacing w:line="237" w:lineRule="auto" w:before="0"/>
        <w:ind w:left="132" w:right="388" w:firstLine="0"/>
        <w:jc w:val="left"/>
        <w:rPr>
          <w:sz w:val="16"/>
        </w:rPr>
      </w:pPr>
      <w:r>
        <w:rPr>
          <w:position w:val="6"/>
          <w:sz w:val="10"/>
        </w:rPr>
        <w:t>6 </w:t>
      </w:r>
      <w:r>
        <w:rPr>
          <w:sz w:val="16"/>
        </w:rPr>
        <w:t>See for eg: CEDAW/C/AUS/CO/8; E/C.12/AUS/CO/5; CRPD/C/AUS/QPR/2-3; CRPD/C/AUS/CO/1; CEDAW/C/AUL/CO/5; CEDAW/C/AUS/CO/7; E/C.12/AUS/CO/4; CCPR/C/AUS/CO/5; CAT/C/AUS/Q/5; CEDAW/C/GC/35; CCPR/C/AUS/CO/6; CRPD/C/GC/3</w:t>
      </w:r>
    </w:p>
    <w:p>
      <w:pPr>
        <w:spacing w:before="0"/>
        <w:ind w:left="132" w:right="0" w:firstLine="0"/>
        <w:jc w:val="left"/>
        <w:rPr>
          <w:sz w:val="16"/>
        </w:rPr>
      </w:pPr>
      <w:r>
        <w:rPr>
          <w:position w:val="6"/>
          <w:sz w:val="10"/>
        </w:rPr>
        <w:t>7 </w:t>
      </w:r>
      <w:r>
        <w:rPr>
          <w:sz w:val="16"/>
        </w:rPr>
        <w:t>See: Committee on the Rights of Persons with Disabilities, </w:t>
      </w:r>
      <w:r>
        <w:rPr>
          <w:i/>
          <w:sz w:val="16"/>
        </w:rPr>
        <w:t>General comment No. 3 (2016) Article 6: Women and girls with disabilities</w:t>
      </w:r>
      <w:r>
        <w:rPr>
          <w:sz w:val="16"/>
        </w:rPr>
        <w:t>. UN Doc. No. CRPD/C/GC/3.</w:t>
      </w:r>
    </w:p>
    <w:p>
      <w:pPr>
        <w:spacing w:line="181" w:lineRule="exact" w:before="0"/>
        <w:ind w:left="132" w:right="0" w:firstLine="0"/>
        <w:jc w:val="left"/>
        <w:rPr>
          <w:sz w:val="16"/>
        </w:rPr>
      </w:pPr>
      <w:r>
        <w:rPr>
          <w:position w:val="6"/>
          <w:sz w:val="10"/>
        </w:rPr>
        <w:t>8 </w:t>
      </w:r>
      <w:r>
        <w:rPr>
          <w:sz w:val="16"/>
        </w:rPr>
        <w:t>State parties to the </w:t>
      </w:r>
      <w:r>
        <w:rPr>
          <w:i/>
          <w:sz w:val="16"/>
        </w:rPr>
        <w:t>Convention on the Rights of Persons with Disabilities </w:t>
      </w:r>
      <w:r>
        <w:rPr>
          <w:sz w:val="16"/>
        </w:rPr>
        <w:t>(CRPD) have an obligation to respect, to protect and to fulfil the</w:t>
      </w:r>
    </w:p>
    <w:p>
      <w:pPr>
        <w:spacing w:line="240" w:lineRule="auto" w:before="2"/>
        <w:ind w:left="132" w:right="138" w:firstLine="0"/>
        <w:jc w:val="left"/>
        <w:rPr>
          <w:sz w:val="16"/>
        </w:rPr>
      </w:pPr>
      <w:r>
        <w:rPr>
          <w:sz w:val="16"/>
        </w:rPr>
        <w:t>rights of women with disabilities under Article 6 and all other substantive provisions in order to guarantee them the enjoyment and exercise of all human rights and fundamental freedoms. These duties imply the undertaking of legal, political, administrative, educational and other measures. State parties have an ongoing and dynamic duty to adopt and apply the measures needed to secure the development, advancement and empowerment of women with disabilities. States parties must adopt a twin track approach through: a) systematically mainstreaming the interests and rights of women and girls with disabilities across all national action plans, strategies and policies concerning women, childhood and disability as well as in sectoral plans concerning, for example: gender equality, health, violence, education, political participation, employment, access to justice and social protection; and b) targeted and monitored action aimed specifically at women with disabilities. A twin track approach is an essential pre-cursor to reducing inequality with regard to participation and enjoyment of rights. See: Committee on the Rights of Persons with Disabilities, </w:t>
      </w:r>
      <w:r>
        <w:rPr>
          <w:i/>
          <w:sz w:val="16"/>
        </w:rPr>
        <w:t>General comment No. 3 (2016) Article 6: Women and girls </w:t>
      </w:r>
      <w:r>
        <w:rPr>
          <w:i/>
          <w:sz w:val="16"/>
        </w:rPr>
        <w:t>with disabilities</w:t>
      </w:r>
      <w:r>
        <w:rPr>
          <w:sz w:val="16"/>
        </w:rPr>
        <w:t>. UN Doc. No. CRPD/C/GC/3.</w:t>
      </w:r>
    </w:p>
    <w:p>
      <w:pPr>
        <w:spacing w:line="240" w:lineRule="auto" w:before="0"/>
        <w:ind w:left="132" w:right="162" w:firstLine="0"/>
        <w:jc w:val="left"/>
        <w:rPr>
          <w:sz w:val="16"/>
        </w:rPr>
      </w:pPr>
      <w:r>
        <w:rPr>
          <w:position w:val="6"/>
          <w:sz w:val="10"/>
        </w:rPr>
        <w:t>9 </w:t>
      </w:r>
      <w:r>
        <w:rPr>
          <w:sz w:val="16"/>
        </w:rPr>
        <w:t>CRPD Article 6 obliges Governments to take positive actions and measures to ensure that disabled women and girls enjoy all human rights and fundamental freedoms. It expressly states the need to incorporate a gender perspective in all efforts to promote the human rights of people with disability, meaning that the rights of women with disability must be addressed when interpreting and implementing every article of the Convention. It clarifies the need to ensure that national policies, frameworks and strategies make explicit recognition of the impact of multiple discriminations caused by the intersection of gender and disability, and that such policies and frameworks include focused, gender-specific measures to ensure that women and girls with disabilities experience full and effective enjoyment of their human rights. See for eg: Preamble [q] of UN General Assembly, </w:t>
      </w:r>
      <w:r>
        <w:rPr>
          <w:i/>
          <w:sz w:val="16"/>
        </w:rPr>
        <w:t>Convention on the Rights of Persons with Disabilities</w:t>
      </w:r>
      <w:r>
        <w:rPr>
          <w:sz w:val="16"/>
        </w:rPr>
        <w:t>: resolution/adopted by the General Assembly, 24 January 2007, A/RES/61/106.</w:t>
      </w:r>
    </w:p>
    <w:sectPr>
      <w:pgSz w:w="11900" w:h="16840"/>
      <w:pgMar w:header="0" w:footer="792" w:top="1040" w:bottom="980" w:left="10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44.23999pt;margin-top:791.414246pt;width:10.1pt;height:16.650pt;mso-position-horizontal-relative:page;mso-position-vertical-relative:page;z-index:-4360" type="#_x0000_t202" filled="false" stroked="false">
          <v:textbox inset="0,0,0,0">
            <w:txbxContent>
              <w:p>
                <w:pPr>
                  <w:spacing w:before="20"/>
                  <w:ind w:left="40" w:right="0" w:firstLine="0"/>
                  <w:jc w:val="left"/>
                  <w:rPr>
                    <w:rFonts w:ascii="Calibri"/>
                    <w:sz w:val="24"/>
                  </w:rPr>
                </w:pPr>
                <w:r>
                  <w:rPr/>
                  <w:fldChar w:fldCharType="begin"/>
                </w:r>
                <w:r>
                  <w:rPr>
                    <w:rFonts w:ascii="Calibri"/>
                    <w:sz w:val="24"/>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52" w:hanging="360"/>
      </w:pPr>
      <w:rPr>
        <w:rFonts w:hint="default" w:ascii="Symbol" w:hAnsi="Symbol" w:eastAsia="Symbol" w:cs="Symbol"/>
        <w:w w:val="100"/>
        <w:sz w:val="22"/>
        <w:szCs w:val="22"/>
      </w:rPr>
    </w:lvl>
    <w:lvl w:ilvl="1">
      <w:start w:val="0"/>
      <w:numFmt w:val="bullet"/>
      <w:lvlText w:val="•"/>
      <w:lvlJc w:val="left"/>
      <w:pPr>
        <w:ind w:left="1790" w:hanging="360"/>
      </w:pPr>
      <w:rPr>
        <w:rFonts w:hint="default"/>
      </w:rPr>
    </w:lvl>
    <w:lvl w:ilvl="2">
      <w:start w:val="0"/>
      <w:numFmt w:val="bullet"/>
      <w:lvlText w:val="•"/>
      <w:lvlJc w:val="left"/>
      <w:pPr>
        <w:ind w:left="2720" w:hanging="360"/>
      </w:pPr>
      <w:rPr>
        <w:rFonts w:hint="default"/>
      </w:rPr>
    </w:lvl>
    <w:lvl w:ilvl="3">
      <w:start w:val="0"/>
      <w:numFmt w:val="bullet"/>
      <w:lvlText w:val="•"/>
      <w:lvlJc w:val="left"/>
      <w:pPr>
        <w:ind w:left="3650" w:hanging="360"/>
      </w:pPr>
      <w:rPr>
        <w:rFonts w:hint="default"/>
      </w:rPr>
    </w:lvl>
    <w:lvl w:ilvl="4">
      <w:start w:val="0"/>
      <w:numFmt w:val="bullet"/>
      <w:lvlText w:val="•"/>
      <w:lvlJc w:val="left"/>
      <w:pPr>
        <w:ind w:left="4580" w:hanging="360"/>
      </w:pPr>
      <w:rPr>
        <w:rFonts w:hint="default"/>
      </w:rPr>
    </w:lvl>
    <w:lvl w:ilvl="5">
      <w:start w:val="0"/>
      <w:numFmt w:val="bullet"/>
      <w:lvlText w:val="•"/>
      <w:lvlJc w:val="left"/>
      <w:pPr>
        <w:ind w:left="5510" w:hanging="360"/>
      </w:pPr>
      <w:rPr>
        <w:rFonts w:hint="default"/>
      </w:rPr>
    </w:lvl>
    <w:lvl w:ilvl="6">
      <w:start w:val="0"/>
      <w:numFmt w:val="bullet"/>
      <w:lvlText w:val="•"/>
      <w:lvlJc w:val="left"/>
      <w:pPr>
        <w:ind w:left="6440" w:hanging="360"/>
      </w:pPr>
      <w:rPr>
        <w:rFonts w:hint="default"/>
      </w:rPr>
    </w:lvl>
    <w:lvl w:ilvl="7">
      <w:start w:val="0"/>
      <w:numFmt w:val="bullet"/>
      <w:lvlText w:val="•"/>
      <w:lvlJc w:val="left"/>
      <w:pPr>
        <w:ind w:left="7370" w:hanging="360"/>
      </w:pPr>
      <w:rPr>
        <w:rFonts w:hint="default"/>
      </w:rPr>
    </w:lvl>
    <w:lvl w:ilvl="8">
      <w:start w:val="0"/>
      <w:numFmt w:val="bullet"/>
      <w:lvlText w:val="•"/>
      <w:lvlJc w:val="left"/>
      <w:pPr>
        <w:ind w:left="830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71"/>
      <w:ind w:left="132"/>
      <w:outlineLvl w:val="1"/>
    </w:pPr>
    <w:rPr>
      <w:rFonts w:ascii="Arial" w:hAnsi="Arial" w:eastAsia="Arial" w:cs="Arial"/>
      <w:b/>
      <w:bCs/>
      <w:sz w:val="28"/>
      <w:szCs w:val="28"/>
    </w:rPr>
  </w:style>
  <w:style w:styleId="ListParagraph" w:type="paragraph">
    <w:name w:val="List Paragraph"/>
    <w:basedOn w:val="Normal"/>
    <w:uiPriority w:val="1"/>
    <w:qFormat/>
    <w:pPr>
      <w:ind w:left="852"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yperlink" Target="mailto:carolyn@wwda.org.au" TargetMode="External"/><Relationship Id="rId11" Type="http://schemas.openxmlformats.org/officeDocument/2006/relationships/image" Target="media/image5.png"/><Relationship Id="rId12" Type="http://schemas.openxmlformats.org/officeDocument/2006/relationships/hyperlink" Target="http://wwda.org.au/" TargetMode="External"/><Relationship Id="rId13" Type="http://schemas.openxmlformats.org/officeDocument/2006/relationships/hyperlink" Target="http://www.wdv.org.au/" TargetMode="External"/><Relationship Id="rId14" Type="http://schemas.openxmlformats.org/officeDocument/2006/relationships/hyperlink" Target="http://www.wwdact.org.au/" TargetMode="External"/><Relationship Id="rId15" Type="http://schemas.openxmlformats.org/officeDocument/2006/relationships/hyperlink" Target="http://www.facebook.com/Women-With-Disabilities-South-Australia-190331824319014/" TargetMode="External"/><Relationship Id="rId16" Type="http://schemas.openxmlformats.org/officeDocument/2006/relationships/hyperlink" Target="http://wwda.org.au/about/snapshot/" TargetMode="Externa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2019-07-29T16:45:44Z</dcterms:created>
  <dcterms:modified xsi:type="dcterms:W3CDTF">2019-07-29T16:45:44Z</dcterms:modified>
</cp:coreProperties>
</file>