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8E811" w14:textId="13908B9F"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14235A85" wp14:editId="6594343B">
            <wp:extent cx="1531301" cy="1830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a:extLst>
                        <a:ext uri="{28A0092B-C50C-407E-A947-70E740481C1C}">
                          <a14:useLocalDpi xmlns:a14="http://schemas.microsoft.com/office/drawing/2010/main" val="0"/>
                        </a:ext>
                      </a:extLst>
                    </a:blip>
                    <a:stretch>
                      <a:fillRect/>
                    </a:stretch>
                  </pic:blipFill>
                  <pic:spPr>
                    <a:xfrm>
                      <a:off x="0" y="0"/>
                      <a:ext cx="1545142" cy="1847252"/>
                    </a:xfrm>
                    <a:prstGeom prst="rect">
                      <a:avLst/>
                    </a:prstGeom>
                  </pic:spPr>
                </pic:pic>
              </a:graphicData>
            </a:graphic>
          </wp:inline>
        </w:drawing>
      </w:r>
    </w:p>
    <w:p w14:paraId="46F56D2B" w14:textId="77777777" w:rsidR="00D1259C" w:rsidRDefault="00D1259C" w:rsidP="00D1259C">
      <w:pPr>
        <w:jc w:val="center"/>
        <w:rPr>
          <w:rFonts w:eastAsia="Times New Roman"/>
          <w:b/>
          <w:bCs/>
          <w:color w:val="00767F"/>
          <w:kern w:val="28"/>
          <w:sz w:val="44"/>
          <w:szCs w:val="32"/>
          <w:lang w:val="en-AU"/>
        </w:rPr>
      </w:pPr>
    </w:p>
    <w:p w14:paraId="24ADA5C9" w14:textId="77777777" w:rsidR="001068A9" w:rsidRDefault="001068A9" w:rsidP="00D1259C">
      <w:pPr>
        <w:jc w:val="center"/>
        <w:rPr>
          <w:rFonts w:eastAsia="Times New Roman"/>
          <w:b/>
          <w:bCs/>
          <w:color w:val="00767F"/>
          <w:kern w:val="28"/>
          <w:sz w:val="44"/>
          <w:szCs w:val="32"/>
          <w:lang w:val="en-AU"/>
        </w:rPr>
      </w:pPr>
    </w:p>
    <w:p w14:paraId="39EE9A9C" w14:textId="3300E870" w:rsidR="001068A9" w:rsidRDefault="004668B7" w:rsidP="00D1259C">
      <w:pPr>
        <w:jc w:val="center"/>
        <w:rPr>
          <w:rFonts w:eastAsia="Times New Roman"/>
          <w:b/>
          <w:bCs/>
          <w:color w:val="00767F"/>
          <w:kern w:val="28"/>
          <w:sz w:val="44"/>
          <w:szCs w:val="32"/>
          <w:lang w:val="en-AU"/>
        </w:rPr>
      </w:pPr>
      <w:r>
        <w:rPr>
          <w:rFonts w:eastAsia="Times New Roman"/>
          <w:b/>
          <w:bCs/>
          <w:color w:val="00767F"/>
          <w:kern w:val="28"/>
          <w:sz w:val="44"/>
          <w:szCs w:val="32"/>
          <w:lang w:val="en-AU"/>
        </w:rPr>
        <w:t xml:space="preserve"> Submission on Draft Terms of Reference for the Royal Commission into Violence, Abuse, Exploitation &amp; Neglect of People with Disability</w:t>
      </w:r>
    </w:p>
    <w:p w14:paraId="44E1E009" w14:textId="77777777" w:rsidR="004668B7" w:rsidRDefault="004668B7" w:rsidP="00D1259C">
      <w:pPr>
        <w:jc w:val="center"/>
        <w:rPr>
          <w:rFonts w:eastAsia="Times New Roman"/>
          <w:b/>
          <w:bCs/>
          <w:color w:val="00767F"/>
          <w:kern w:val="28"/>
          <w:sz w:val="44"/>
          <w:szCs w:val="32"/>
          <w:lang w:val="en-AU"/>
        </w:rPr>
      </w:pPr>
    </w:p>
    <w:p w14:paraId="6D63E6CE" w14:textId="665A28CE" w:rsidR="00560A87" w:rsidRDefault="00560A87" w:rsidP="00D1259C">
      <w:pPr>
        <w:jc w:val="center"/>
        <w:rPr>
          <w:rFonts w:eastAsia="Times New Roman"/>
          <w:b/>
          <w:bCs/>
          <w:color w:val="00767F"/>
          <w:kern w:val="28"/>
          <w:sz w:val="44"/>
          <w:szCs w:val="32"/>
          <w:lang w:val="en-AU"/>
        </w:rPr>
      </w:pPr>
      <w:r>
        <w:rPr>
          <w:rFonts w:eastAsia="Times New Roman"/>
          <w:b/>
          <w:bCs/>
          <w:color w:val="00767F"/>
          <w:kern w:val="28"/>
          <w:sz w:val="44"/>
          <w:szCs w:val="32"/>
          <w:lang w:val="en-AU"/>
        </w:rPr>
        <w:t>T</w:t>
      </w:r>
      <w:r w:rsidR="004668B7">
        <w:rPr>
          <w:rFonts w:eastAsia="Times New Roman"/>
          <w:b/>
          <w:bCs/>
          <w:color w:val="00767F"/>
          <w:kern w:val="28"/>
          <w:sz w:val="44"/>
          <w:szCs w:val="32"/>
          <w:lang w:val="en-AU"/>
        </w:rPr>
        <w:t xml:space="preserve">o </w:t>
      </w:r>
    </w:p>
    <w:p w14:paraId="285CA0D2" w14:textId="2C9A5D28" w:rsidR="004668B7" w:rsidRDefault="004668B7" w:rsidP="00D1259C">
      <w:pPr>
        <w:jc w:val="center"/>
        <w:rPr>
          <w:rFonts w:eastAsia="Times New Roman"/>
          <w:b/>
          <w:bCs/>
          <w:color w:val="00767F"/>
          <w:kern w:val="28"/>
          <w:sz w:val="44"/>
          <w:szCs w:val="32"/>
          <w:lang w:val="en-AU"/>
        </w:rPr>
      </w:pPr>
      <w:r>
        <w:rPr>
          <w:rFonts w:eastAsia="Times New Roman"/>
          <w:b/>
          <w:bCs/>
          <w:color w:val="00767F"/>
          <w:kern w:val="28"/>
          <w:sz w:val="44"/>
          <w:szCs w:val="32"/>
          <w:lang w:val="en-AU"/>
        </w:rPr>
        <w:t>Department of Social Services</w:t>
      </w:r>
    </w:p>
    <w:p w14:paraId="7C49A7A4" w14:textId="77777777" w:rsidR="00D1259C" w:rsidRPr="00D1259C" w:rsidRDefault="00D1259C" w:rsidP="00D1259C">
      <w:pPr>
        <w:jc w:val="center"/>
        <w:rPr>
          <w:b/>
          <w:color w:val="343434"/>
          <w:sz w:val="28"/>
          <w:szCs w:val="72"/>
          <w:lang w:val="en"/>
        </w:rPr>
      </w:pPr>
    </w:p>
    <w:p w14:paraId="18CCBF2C" w14:textId="0C6586F7" w:rsidR="00336709" w:rsidRDefault="00336709" w:rsidP="009336E5">
      <w:pPr>
        <w:jc w:val="center"/>
        <w:rPr>
          <w:sz w:val="28"/>
          <w:szCs w:val="28"/>
          <w:lang w:val="en-AU"/>
        </w:rPr>
      </w:pPr>
    </w:p>
    <w:p w14:paraId="38A13AF7" w14:textId="77777777" w:rsidR="001068A9" w:rsidRDefault="001068A9" w:rsidP="009336E5">
      <w:pPr>
        <w:jc w:val="center"/>
        <w:rPr>
          <w:sz w:val="28"/>
          <w:szCs w:val="28"/>
          <w:lang w:val="en-AU"/>
        </w:rPr>
      </w:pPr>
    </w:p>
    <w:p w14:paraId="1C5FDCFD" w14:textId="77777777" w:rsidR="001068A9" w:rsidRDefault="001068A9" w:rsidP="009336E5">
      <w:pPr>
        <w:jc w:val="center"/>
        <w:rPr>
          <w:sz w:val="28"/>
          <w:szCs w:val="28"/>
          <w:lang w:val="en-AU"/>
        </w:rPr>
      </w:pPr>
    </w:p>
    <w:p w14:paraId="79BA5487" w14:textId="77777777" w:rsidR="00D1259C" w:rsidRDefault="00D1259C" w:rsidP="009336E5">
      <w:pPr>
        <w:jc w:val="center"/>
        <w:rPr>
          <w:sz w:val="28"/>
          <w:szCs w:val="28"/>
          <w:lang w:val="en-AU"/>
        </w:rPr>
      </w:pPr>
    </w:p>
    <w:p w14:paraId="52A6D486" w14:textId="1A4F1CB7" w:rsidR="001068A9" w:rsidRDefault="004668B7" w:rsidP="001068A9">
      <w:pPr>
        <w:jc w:val="center"/>
        <w:rPr>
          <w:b/>
          <w:color w:val="343434"/>
          <w:sz w:val="28"/>
          <w:szCs w:val="72"/>
          <w:lang w:val="en"/>
        </w:rPr>
      </w:pPr>
      <w:r>
        <w:rPr>
          <w:b/>
          <w:color w:val="343434"/>
          <w:sz w:val="28"/>
          <w:szCs w:val="72"/>
          <w:lang w:val="en"/>
        </w:rPr>
        <w:t>27</w:t>
      </w:r>
      <w:r w:rsidRPr="004668B7">
        <w:rPr>
          <w:b/>
          <w:color w:val="343434"/>
          <w:sz w:val="28"/>
          <w:szCs w:val="72"/>
          <w:vertAlign w:val="superscript"/>
          <w:lang w:val="en"/>
        </w:rPr>
        <w:t>th</w:t>
      </w:r>
      <w:r>
        <w:rPr>
          <w:b/>
          <w:color w:val="343434"/>
          <w:sz w:val="28"/>
          <w:szCs w:val="72"/>
          <w:lang w:val="en"/>
        </w:rPr>
        <w:t xml:space="preserve"> March 2019</w:t>
      </w:r>
      <w:bookmarkStart w:id="0" w:name="_Toc525849192"/>
      <w:bookmarkStart w:id="1" w:name="_Toc254011"/>
    </w:p>
    <w:p w14:paraId="0C33C1DF" w14:textId="77777777" w:rsidR="001068A9" w:rsidRDefault="001068A9">
      <w:pPr>
        <w:spacing w:after="0" w:line="240" w:lineRule="auto"/>
        <w:rPr>
          <w:b/>
          <w:color w:val="343434"/>
          <w:sz w:val="28"/>
          <w:szCs w:val="72"/>
          <w:lang w:val="en"/>
        </w:rPr>
      </w:pPr>
      <w:r>
        <w:rPr>
          <w:b/>
          <w:color w:val="343434"/>
          <w:sz w:val="28"/>
          <w:szCs w:val="72"/>
          <w:lang w:val="en"/>
        </w:rPr>
        <w:br w:type="page"/>
      </w:r>
    </w:p>
    <w:p w14:paraId="33C4E0F6" w14:textId="166718EC" w:rsidR="00045D81" w:rsidRPr="003A7845" w:rsidRDefault="00045D81" w:rsidP="001068A9">
      <w:pPr>
        <w:jc w:val="center"/>
        <w:rPr>
          <w:rStyle w:val="Heading2Char"/>
          <w:rFonts w:eastAsiaTheme="majorEastAsia"/>
          <w:b w:val="0"/>
        </w:rPr>
      </w:pPr>
      <w:bookmarkStart w:id="2" w:name="_Toc4593806"/>
      <w:r w:rsidRPr="003A7845">
        <w:rPr>
          <w:rStyle w:val="Heading2Char"/>
          <w:rFonts w:eastAsiaTheme="majorEastAsia"/>
        </w:rPr>
        <w:lastRenderedPageBreak/>
        <w:t>Table of Contents</w:t>
      </w:r>
      <w:bookmarkEnd w:id="0"/>
      <w:bookmarkEnd w:id="1"/>
      <w:bookmarkEnd w:id="2"/>
    </w:p>
    <w:p w14:paraId="36B28D2D" w14:textId="150A56FA" w:rsidR="00560A87" w:rsidRPr="009F77C4" w:rsidRDefault="00162A08">
      <w:pPr>
        <w:pStyle w:val="TOC2"/>
        <w:tabs>
          <w:tab w:val="right" w:leader="dot" w:pos="9339"/>
        </w:tabs>
        <w:rPr>
          <w:rFonts w:ascii="Arial" w:eastAsiaTheme="minorEastAsia" w:hAnsi="Arial" w:cs="Arial"/>
          <w:smallCaps w:val="0"/>
          <w:noProof/>
          <w:kern w:val="0"/>
          <w:sz w:val="24"/>
          <w:szCs w:val="24"/>
          <w:lang w:val="en-AU" w:eastAsia="en-AU"/>
        </w:rPr>
      </w:pPr>
      <w:r w:rsidRPr="00162A08">
        <w:rPr>
          <w:rFonts w:ascii="Arial" w:hAnsi="Arial" w:cs="Arial"/>
          <w:b/>
          <w:bCs/>
          <w:smallCaps w:val="0"/>
          <w:sz w:val="24"/>
          <w:szCs w:val="24"/>
        </w:rPr>
        <w:fldChar w:fldCharType="begin"/>
      </w:r>
      <w:r w:rsidRPr="00162A08">
        <w:rPr>
          <w:rFonts w:ascii="Arial" w:hAnsi="Arial" w:cs="Arial"/>
          <w:b/>
          <w:bCs/>
          <w:smallCaps w:val="0"/>
          <w:sz w:val="24"/>
          <w:szCs w:val="24"/>
        </w:rPr>
        <w:instrText xml:space="preserve"> TOC \o "1-3" \h \z \u </w:instrText>
      </w:r>
      <w:r w:rsidRPr="00162A08">
        <w:rPr>
          <w:rFonts w:ascii="Arial" w:hAnsi="Arial" w:cs="Arial"/>
          <w:b/>
          <w:bCs/>
          <w:smallCaps w:val="0"/>
          <w:sz w:val="24"/>
          <w:szCs w:val="24"/>
        </w:rPr>
        <w:fldChar w:fldCharType="separate"/>
      </w:r>
      <w:hyperlink w:anchor="_Toc4593806" w:history="1"/>
    </w:p>
    <w:p w14:paraId="7ADED814" w14:textId="77777777" w:rsidR="00560A87" w:rsidRPr="009F77C4" w:rsidRDefault="008305D1" w:rsidP="009F77C4">
      <w:pPr>
        <w:pStyle w:val="TOC2"/>
        <w:tabs>
          <w:tab w:val="right" w:leader="dot" w:pos="9339"/>
        </w:tabs>
        <w:spacing w:line="480" w:lineRule="auto"/>
        <w:rPr>
          <w:rFonts w:ascii="Arial" w:eastAsiaTheme="minorEastAsia" w:hAnsi="Arial" w:cs="Arial"/>
          <w:smallCaps w:val="0"/>
          <w:noProof/>
          <w:kern w:val="0"/>
          <w:sz w:val="24"/>
          <w:szCs w:val="24"/>
          <w:lang w:val="en-AU" w:eastAsia="en-AU"/>
        </w:rPr>
      </w:pPr>
      <w:hyperlink w:anchor="_Toc4593807" w:history="1">
        <w:r w:rsidR="00560A87" w:rsidRPr="009F77C4">
          <w:rPr>
            <w:rStyle w:val="Hyperlink"/>
            <w:rFonts w:ascii="Arial" w:hAnsi="Arial" w:cs="Arial"/>
            <w:noProof/>
            <w:sz w:val="24"/>
            <w:szCs w:val="24"/>
          </w:rPr>
          <w:t>About AFDO</w:t>
        </w:r>
        <w:r w:rsidR="00560A87" w:rsidRPr="009F77C4">
          <w:rPr>
            <w:rFonts w:ascii="Arial" w:hAnsi="Arial" w:cs="Arial"/>
            <w:noProof/>
            <w:webHidden/>
            <w:sz w:val="24"/>
            <w:szCs w:val="24"/>
          </w:rPr>
          <w:tab/>
        </w:r>
        <w:r w:rsidR="00560A87" w:rsidRPr="009F77C4">
          <w:rPr>
            <w:rFonts w:ascii="Arial" w:hAnsi="Arial" w:cs="Arial"/>
            <w:noProof/>
            <w:webHidden/>
            <w:sz w:val="24"/>
            <w:szCs w:val="24"/>
          </w:rPr>
          <w:fldChar w:fldCharType="begin"/>
        </w:r>
        <w:r w:rsidR="00560A87" w:rsidRPr="009F77C4">
          <w:rPr>
            <w:rFonts w:ascii="Arial" w:hAnsi="Arial" w:cs="Arial"/>
            <w:noProof/>
            <w:webHidden/>
            <w:sz w:val="24"/>
            <w:szCs w:val="24"/>
          </w:rPr>
          <w:instrText xml:space="preserve"> PAGEREF _Toc4593807 \h </w:instrText>
        </w:r>
        <w:r w:rsidR="00560A87" w:rsidRPr="009F77C4">
          <w:rPr>
            <w:rFonts w:ascii="Arial" w:hAnsi="Arial" w:cs="Arial"/>
            <w:noProof/>
            <w:webHidden/>
            <w:sz w:val="24"/>
            <w:szCs w:val="24"/>
          </w:rPr>
        </w:r>
        <w:r w:rsidR="00560A87" w:rsidRPr="009F77C4">
          <w:rPr>
            <w:rFonts w:ascii="Arial" w:hAnsi="Arial" w:cs="Arial"/>
            <w:noProof/>
            <w:webHidden/>
            <w:sz w:val="24"/>
            <w:szCs w:val="24"/>
          </w:rPr>
          <w:fldChar w:fldCharType="separate"/>
        </w:r>
        <w:r w:rsidR="00560A87" w:rsidRPr="009F77C4">
          <w:rPr>
            <w:rFonts w:ascii="Arial" w:hAnsi="Arial" w:cs="Arial"/>
            <w:noProof/>
            <w:webHidden/>
            <w:sz w:val="24"/>
            <w:szCs w:val="24"/>
          </w:rPr>
          <w:t>3</w:t>
        </w:r>
        <w:r w:rsidR="00560A87" w:rsidRPr="009F77C4">
          <w:rPr>
            <w:rFonts w:ascii="Arial" w:hAnsi="Arial" w:cs="Arial"/>
            <w:noProof/>
            <w:webHidden/>
            <w:sz w:val="24"/>
            <w:szCs w:val="24"/>
          </w:rPr>
          <w:fldChar w:fldCharType="end"/>
        </w:r>
      </w:hyperlink>
    </w:p>
    <w:p w14:paraId="52146436" w14:textId="77777777" w:rsidR="00560A87" w:rsidRPr="009F77C4" w:rsidRDefault="008305D1" w:rsidP="009F77C4">
      <w:pPr>
        <w:pStyle w:val="TOC2"/>
        <w:tabs>
          <w:tab w:val="right" w:leader="dot" w:pos="9339"/>
        </w:tabs>
        <w:spacing w:line="480" w:lineRule="auto"/>
        <w:rPr>
          <w:rFonts w:ascii="Arial" w:eastAsiaTheme="minorEastAsia" w:hAnsi="Arial" w:cs="Arial"/>
          <w:smallCaps w:val="0"/>
          <w:noProof/>
          <w:kern w:val="0"/>
          <w:sz w:val="24"/>
          <w:szCs w:val="24"/>
          <w:lang w:val="en-AU" w:eastAsia="en-AU"/>
        </w:rPr>
      </w:pPr>
      <w:hyperlink w:anchor="_Toc4593808" w:history="1">
        <w:r w:rsidR="00560A87" w:rsidRPr="009F77C4">
          <w:rPr>
            <w:rStyle w:val="Hyperlink"/>
            <w:rFonts w:ascii="Arial" w:hAnsi="Arial" w:cs="Arial"/>
            <w:noProof/>
            <w:sz w:val="24"/>
            <w:szCs w:val="24"/>
          </w:rPr>
          <w:t>Introduction</w:t>
        </w:r>
        <w:r w:rsidR="00560A87" w:rsidRPr="009F77C4">
          <w:rPr>
            <w:rFonts w:ascii="Arial" w:hAnsi="Arial" w:cs="Arial"/>
            <w:noProof/>
            <w:webHidden/>
            <w:sz w:val="24"/>
            <w:szCs w:val="24"/>
          </w:rPr>
          <w:tab/>
        </w:r>
        <w:r w:rsidR="00560A87" w:rsidRPr="009F77C4">
          <w:rPr>
            <w:rFonts w:ascii="Arial" w:hAnsi="Arial" w:cs="Arial"/>
            <w:noProof/>
            <w:webHidden/>
            <w:sz w:val="24"/>
            <w:szCs w:val="24"/>
          </w:rPr>
          <w:fldChar w:fldCharType="begin"/>
        </w:r>
        <w:r w:rsidR="00560A87" w:rsidRPr="009F77C4">
          <w:rPr>
            <w:rFonts w:ascii="Arial" w:hAnsi="Arial" w:cs="Arial"/>
            <w:noProof/>
            <w:webHidden/>
            <w:sz w:val="24"/>
            <w:szCs w:val="24"/>
          </w:rPr>
          <w:instrText xml:space="preserve"> PAGEREF _Toc4593808 \h </w:instrText>
        </w:r>
        <w:r w:rsidR="00560A87" w:rsidRPr="009F77C4">
          <w:rPr>
            <w:rFonts w:ascii="Arial" w:hAnsi="Arial" w:cs="Arial"/>
            <w:noProof/>
            <w:webHidden/>
            <w:sz w:val="24"/>
            <w:szCs w:val="24"/>
          </w:rPr>
        </w:r>
        <w:r w:rsidR="00560A87" w:rsidRPr="009F77C4">
          <w:rPr>
            <w:rFonts w:ascii="Arial" w:hAnsi="Arial" w:cs="Arial"/>
            <w:noProof/>
            <w:webHidden/>
            <w:sz w:val="24"/>
            <w:szCs w:val="24"/>
          </w:rPr>
          <w:fldChar w:fldCharType="separate"/>
        </w:r>
        <w:r w:rsidR="00560A87" w:rsidRPr="009F77C4">
          <w:rPr>
            <w:rFonts w:ascii="Arial" w:hAnsi="Arial" w:cs="Arial"/>
            <w:noProof/>
            <w:webHidden/>
            <w:sz w:val="24"/>
            <w:szCs w:val="24"/>
          </w:rPr>
          <w:t>4</w:t>
        </w:r>
        <w:r w:rsidR="00560A87" w:rsidRPr="009F77C4">
          <w:rPr>
            <w:rFonts w:ascii="Arial" w:hAnsi="Arial" w:cs="Arial"/>
            <w:noProof/>
            <w:webHidden/>
            <w:sz w:val="24"/>
            <w:szCs w:val="24"/>
          </w:rPr>
          <w:fldChar w:fldCharType="end"/>
        </w:r>
      </w:hyperlink>
    </w:p>
    <w:p w14:paraId="735549A6" w14:textId="77777777" w:rsidR="00560A87" w:rsidRPr="009F77C4" w:rsidRDefault="008305D1" w:rsidP="009F77C4">
      <w:pPr>
        <w:pStyle w:val="TOC2"/>
        <w:tabs>
          <w:tab w:val="right" w:leader="dot" w:pos="9339"/>
        </w:tabs>
        <w:spacing w:line="480" w:lineRule="auto"/>
        <w:rPr>
          <w:rFonts w:ascii="Arial" w:eastAsiaTheme="minorEastAsia" w:hAnsi="Arial" w:cs="Arial"/>
          <w:smallCaps w:val="0"/>
          <w:noProof/>
          <w:kern w:val="0"/>
          <w:sz w:val="24"/>
          <w:szCs w:val="24"/>
          <w:lang w:val="en-AU" w:eastAsia="en-AU"/>
        </w:rPr>
      </w:pPr>
      <w:hyperlink w:anchor="_Toc4593809" w:history="1">
        <w:r w:rsidR="00560A87" w:rsidRPr="009F77C4">
          <w:rPr>
            <w:rStyle w:val="Hyperlink"/>
            <w:rFonts w:ascii="Arial" w:hAnsi="Arial" w:cs="Arial"/>
            <w:noProof/>
            <w:sz w:val="24"/>
            <w:szCs w:val="24"/>
          </w:rPr>
          <w:t>Draft Terms of Reference (TOR)</w:t>
        </w:r>
        <w:r w:rsidR="00560A87" w:rsidRPr="009F77C4">
          <w:rPr>
            <w:rFonts w:ascii="Arial" w:hAnsi="Arial" w:cs="Arial"/>
            <w:noProof/>
            <w:webHidden/>
            <w:sz w:val="24"/>
            <w:szCs w:val="24"/>
          </w:rPr>
          <w:tab/>
        </w:r>
        <w:r w:rsidR="00560A87" w:rsidRPr="009F77C4">
          <w:rPr>
            <w:rFonts w:ascii="Arial" w:hAnsi="Arial" w:cs="Arial"/>
            <w:noProof/>
            <w:webHidden/>
            <w:sz w:val="24"/>
            <w:szCs w:val="24"/>
          </w:rPr>
          <w:fldChar w:fldCharType="begin"/>
        </w:r>
        <w:r w:rsidR="00560A87" w:rsidRPr="009F77C4">
          <w:rPr>
            <w:rFonts w:ascii="Arial" w:hAnsi="Arial" w:cs="Arial"/>
            <w:noProof/>
            <w:webHidden/>
            <w:sz w:val="24"/>
            <w:szCs w:val="24"/>
          </w:rPr>
          <w:instrText xml:space="preserve"> PAGEREF _Toc4593809 \h </w:instrText>
        </w:r>
        <w:r w:rsidR="00560A87" w:rsidRPr="009F77C4">
          <w:rPr>
            <w:rFonts w:ascii="Arial" w:hAnsi="Arial" w:cs="Arial"/>
            <w:noProof/>
            <w:webHidden/>
            <w:sz w:val="24"/>
            <w:szCs w:val="24"/>
          </w:rPr>
        </w:r>
        <w:r w:rsidR="00560A87" w:rsidRPr="009F77C4">
          <w:rPr>
            <w:rFonts w:ascii="Arial" w:hAnsi="Arial" w:cs="Arial"/>
            <w:noProof/>
            <w:webHidden/>
            <w:sz w:val="24"/>
            <w:szCs w:val="24"/>
          </w:rPr>
          <w:fldChar w:fldCharType="separate"/>
        </w:r>
        <w:r w:rsidR="00560A87" w:rsidRPr="009F77C4">
          <w:rPr>
            <w:rFonts w:ascii="Arial" w:hAnsi="Arial" w:cs="Arial"/>
            <w:noProof/>
            <w:webHidden/>
            <w:sz w:val="24"/>
            <w:szCs w:val="24"/>
          </w:rPr>
          <w:t>5</w:t>
        </w:r>
        <w:r w:rsidR="00560A87" w:rsidRPr="009F77C4">
          <w:rPr>
            <w:rFonts w:ascii="Arial" w:hAnsi="Arial" w:cs="Arial"/>
            <w:noProof/>
            <w:webHidden/>
            <w:sz w:val="24"/>
            <w:szCs w:val="24"/>
          </w:rPr>
          <w:fldChar w:fldCharType="end"/>
        </w:r>
      </w:hyperlink>
    </w:p>
    <w:p w14:paraId="29F763EF" w14:textId="77777777" w:rsidR="00560A87" w:rsidRPr="009F77C4" w:rsidRDefault="008305D1" w:rsidP="009F77C4">
      <w:pPr>
        <w:pStyle w:val="TOC2"/>
        <w:tabs>
          <w:tab w:val="right" w:leader="dot" w:pos="9339"/>
        </w:tabs>
        <w:spacing w:line="480" w:lineRule="auto"/>
        <w:rPr>
          <w:rFonts w:ascii="Arial" w:eastAsiaTheme="minorEastAsia" w:hAnsi="Arial" w:cs="Arial"/>
          <w:smallCaps w:val="0"/>
          <w:noProof/>
          <w:kern w:val="0"/>
          <w:sz w:val="24"/>
          <w:szCs w:val="24"/>
          <w:lang w:val="en-AU" w:eastAsia="en-AU"/>
        </w:rPr>
      </w:pPr>
      <w:hyperlink w:anchor="_Toc4593810" w:history="1">
        <w:r w:rsidR="00560A87" w:rsidRPr="009F77C4">
          <w:rPr>
            <w:rStyle w:val="Hyperlink"/>
            <w:rFonts w:ascii="Arial" w:hAnsi="Arial" w:cs="Arial"/>
            <w:noProof/>
            <w:sz w:val="24"/>
            <w:szCs w:val="24"/>
          </w:rPr>
          <w:t>Additional requirements</w:t>
        </w:r>
        <w:r w:rsidR="00560A87" w:rsidRPr="009F77C4">
          <w:rPr>
            <w:rFonts w:ascii="Arial" w:hAnsi="Arial" w:cs="Arial"/>
            <w:noProof/>
            <w:webHidden/>
            <w:sz w:val="24"/>
            <w:szCs w:val="24"/>
          </w:rPr>
          <w:tab/>
        </w:r>
        <w:r w:rsidR="00560A87" w:rsidRPr="009F77C4">
          <w:rPr>
            <w:rFonts w:ascii="Arial" w:hAnsi="Arial" w:cs="Arial"/>
            <w:noProof/>
            <w:webHidden/>
            <w:sz w:val="24"/>
            <w:szCs w:val="24"/>
          </w:rPr>
          <w:fldChar w:fldCharType="begin"/>
        </w:r>
        <w:r w:rsidR="00560A87" w:rsidRPr="009F77C4">
          <w:rPr>
            <w:rFonts w:ascii="Arial" w:hAnsi="Arial" w:cs="Arial"/>
            <w:noProof/>
            <w:webHidden/>
            <w:sz w:val="24"/>
            <w:szCs w:val="24"/>
          </w:rPr>
          <w:instrText xml:space="preserve"> PAGEREF _Toc4593810 \h </w:instrText>
        </w:r>
        <w:r w:rsidR="00560A87" w:rsidRPr="009F77C4">
          <w:rPr>
            <w:rFonts w:ascii="Arial" w:hAnsi="Arial" w:cs="Arial"/>
            <w:noProof/>
            <w:webHidden/>
            <w:sz w:val="24"/>
            <w:szCs w:val="24"/>
          </w:rPr>
        </w:r>
        <w:r w:rsidR="00560A87" w:rsidRPr="009F77C4">
          <w:rPr>
            <w:rFonts w:ascii="Arial" w:hAnsi="Arial" w:cs="Arial"/>
            <w:noProof/>
            <w:webHidden/>
            <w:sz w:val="24"/>
            <w:szCs w:val="24"/>
          </w:rPr>
          <w:fldChar w:fldCharType="separate"/>
        </w:r>
        <w:r w:rsidR="00560A87" w:rsidRPr="009F77C4">
          <w:rPr>
            <w:rFonts w:ascii="Arial" w:hAnsi="Arial" w:cs="Arial"/>
            <w:noProof/>
            <w:webHidden/>
            <w:sz w:val="24"/>
            <w:szCs w:val="24"/>
          </w:rPr>
          <w:t>6</w:t>
        </w:r>
        <w:r w:rsidR="00560A87" w:rsidRPr="009F77C4">
          <w:rPr>
            <w:rFonts w:ascii="Arial" w:hAnsi="Arial" w:cs="Arial"/>
            <w:noProof/>
            <w:webHidden/>
            <w:sz w:val="24"/>
            <w:szCs w:val="24"/>
          </w:rPr>
          <w:fldChar w:fldCharType="end"/>
        </w:r>
      </w:hyperlink>
    </w:p>
    <w:p w14:paraId="12C1A0C4" w14:textId="77777777" w:rsidR="00560A87" w:rsidRPr="009F77C4" w:rsidRDefault="008305D1" w:rsidP="009F77C4">
      <w:pPr>
        <w:pStyle w:val="TOC3"/>
        <w:tabs>
          <w:tab w:val="left" w:pos="960"/>
          <w:tab w:val="right" w:leader="dot" w:pos="9339"/>
        </w:tabs>
        <w:spacing w:line="480" w:lineRule="auto"/>
        <w:rPr>
          <w:rFonts w:ascii="Arial" w:eastAsiaTheme="minorEastAsia" w:hAnsi="Arial" w:cs="Arial"/>
          <w:i w:val="0"/>
          <w:iCs w:val="0"/>
          <w:noProof/>
          <w:kern w:val="0"/>
          <w:sz w:val="24"/>
          <w:szCs w:val="24"/>
          <w:lang w:val="en-AU" w:eastAsia="en-AU"/>
        </w:rPr>
      </w:pPr>
      <w:hyperlink w:anchor="_Toc4593811" w:history="1">
        <w:r w:rsidR="00560A87" w:rsidRPr="009F77C4">
          <w:rPr>
            <w:rStyle w:val="Hyperlink"/>
            <w:rFonts w:ascii="Arial" w:hAnsi="Arial" w:cs="Arial"/>
            <w:i w:val="0"/>
            <w:noProof/>
            <w:sz w:val="24"/>
            <w:szCs w:val="24"/>
          </w:rPr>
          <w:t>A.</w:t>
        </w:r>
        <w:r w:rsidR="00560A87" w:rsidRPr="009F77C4">
          <w:rPr>
            <w:rFonts w:ascii="Arial" w:eastAsiaTheme="minorEastAsia" w:hAnsi="Arial" w:cs="Arial"/>
            <w:i w:val="0"/>
            <w:iCs w:val="0"/>
            <w:noProof/>
            <w:kern w:val="0"/>
            <w:sz w:val="24"/>
            <w:szCs w:val="24"/>
            <w:lang w:val="en-AU" w:eastAsia="en-AU"/>
          </w:rPr>
          <w:tab/>
        </w:r>
        <w:r w:rsidR="00560A87" w:rsidRPr="009F77C4">
          <w:rPr>
            <w:rStyle w:val="Hyperlink"/>
            <w:rFonts w:ascii="Arial" w:hAnsi="Arial" w:cs="Arial"/>
            <w:i w:val="0"/>
            <w:noProof/>
            <w:sz w:val="24"/>
            <w:szCs w:val="24"/>
          </w:rPr>
          <w:t>Terms of Reference:</w:t>
        </w:r>
        <w:r w:rsidR="00560A87" w:rsidRPr="009F77C4">
          <w:rPr>
            <w:rFonts w:ascii="Arial" w:hAnsi="Arial" w:cs="Arial"/>
            <w:i w:val="0"/>
            <w:noProof/>
            <w:webHidden/>
            <w:sz w:val="24"/>
            <w:szCs w:val="24"/>
          </w:rPr>
          <w:tab/>
        </w:r>
        <w:r w:rsidR="00560A87" w:rsidRPr="009F77C4">
          <w:rPr>
            <w:rFonts w:ascii="Arial" w:hAnsi="Arial" w:cs="Arial"/>
            <w:i w:val="0"/>
            <w:noProof/>
            <w:webHidden/>
            <w:sz w:val="24"/>
            <w:szCs w:val="24"/>
          </w:rPr>
          <w:fldChar w:fldCharType="begin"/>
        </w:r>
        <w:r w:rsidR="00560A87" w:rsidRPr="009F77C4">
          <w:rPr>
            <w:rFonts w:ascii="Arial" w:hAnsi="Arial" w:cs="Arial"/>
            <w:i w:val="0"/>
            <w:noProof/>
            <w:webHidden/>
            <w:sz w:val="24"/>
            <w:szCs w:val="24"/>
          </w:rPr>
          <w:instrText xml:space="preserve"> PAGEREF _Toc4593811 \h </w:instrText>
        </w:r>
        <w:r w:rsidR="00560A87" w:rsidRPr="009F77C4">
          <w:rPr>
            <w:rFonts w:ascii="Arial" w:hAnsi="Arial" w:cs="Arial"/>
            <w:i w:val="0"/>
            <w:noProof/>
            <w:webHidden/>
            <w:sz w:val="24"/>
            <w:szCs w:val="24"/>
          </w:rPr>
        </w:r>
        <w:r w:rsidR="00560A87" w:rsidRPr="009F77C4">
          <w:rPr>
            <w:rFonts w:ascii="Arial" w:hAnsi="Arial" w:cs="Arial"/>
            <w:i w:val="0"/>
            <w:noProof/>
            <w:webHidden/>
            <w:sz w:val="24"/>
            <w:szCs w:val="24"/>
          </w:rPr>
          <w:fldChar w:fldCharType="separate"/>
        </w:r>
        <w:r w:rsidR="00560A87" w:rsidRPr="009F77C4">
          <w:rPr>
            <w:rFonts w:ascii="Arial" w:hAnsi="Arial" w:cs="Arial"/>
            <w:i w:val="0"/>
            <w:noProof/>
            <w:webHidden/>
            <w:sz w:val="24"/>
            <w:szCs w:val="24"/>
          </w:rPr>
          <w:t>6</w:t>
        </w:r>
        <w:r w:rsidR="00560A87" w:rsidRPr="009F77C4">
          <w:rPr>
            <w:rFonts w:ascii="Arial" w:hAnsi="Arial" w:cs="Arial"/>
            <w:i w:val="0"/>
            <w:noProof/>
            <w:webHidden/>
            <w:sz w:val="24"/>
            <w:szCs w:val="24"/>
          </w:rPr>
          <w:fldChar w:fldCharType="end"/>
        </w:r>
      </w:hyperlink>
    </w:p>
    <w:p w14:paraId="294149FC" w14:textId="77777777" w:rsidR="00560A87" w:rsidRPr="009F77C4" w:rsidRDefault="008305D1" w:rsidP="009F77C4">
      <w:pPr>
        <w:pStyle w:val="TOC3"/>
        <w:tabs>
          <w:tab w:val="left" w:pos="960"/>
          <w:tab w:val="right" w:leader="dot" w:pos="9339"/>
        </w:tabs>
        <w:spacing w:line="480" w:lineRule="auto"/>
        <w:rPr>
          <w:rFonts w:ascii="Arial" w:eastAsiaTheme="minorEastAsia" w:hAnsi="Arial" w:cs="Arial"/>
          <w:i w:val="0"/>
          <w:iCs w:val="0"/>
          <w:noProof/>
          <w:kern w:val="0"/>
          <w:sz w:val="24"/>
          <w:szCs w:val="24"/>
          <w:lang w:val="en-AU" w:eastAsia="en-AU"/>
        </w:rPr>
      </w:pPr>
      <w:hyperlink w:anchor="_Toc4593812" w:history="1">
        <w:r w:rsidR="00560A87" w:rsidRPr="009F77C4">
          <w:rPr>
            <w:rStyle w:val="Hyperlink"/>
            <w:rFonts w:ascii="Arial" w:hAnsi="Arial" w:cs="Arial"/>
            <w:i w:val="0"/>
            <w:noProof/>
            <w:sz w:val="24"/>
            <w:szCs w:val="24"/>
          </w:rPr>
          <w:t>B.</w:t>
        </w:r>
        <w:r w:rsidR="00560A87" w:rsidRPr="009F77C4">
          <w:rPr>
            <w:rFonts w:ascii="Arial" w:eastAsiaTheme="minorEastAsia" w:hAnsi="Arial" w:cs="Arial"/>
            <w:i w:val="0"/>
            <w:iCs w:val="0"/>
            <w:noProof/>
            <w:kern w:val="0"/>
            <w:sz w:val="24"/>
            <w:szCs w:val="24"/>
            <w:lang w:val="en-AU" w:eastAsia="en-AU"/>
          </w:rPr>
          <w:tab/>
        </w:r>
        <w:r w:rsidR="00560A87" w:rsidRPr="009F77C4">
          <w:rPr>
            <w:rStyle w:val="Hyperlink"/>
            <w:rFonts w:ascii="Arial" w:hAnsi="Arial" w:cs="Arial"/>
            <w:i w:val="0"/>
            <w:noProof/>
            <w:sz w:val="24"/>
            <w:szCs w:val="24"/>
          </w:rPr>
          <w:t>Government requirements:</w:t>
        </w:r>
        <w:r w:rsidR="00560A87" w:rsidRPr="009F77C4">
          <w:rPr>
            <w:rFonts w:ascii="Arial" w:hAnsi="Arial" w:cs="Arial"/>
            <w:i w:val="0"/>
            <w:noProof/>
            <w:webHidden/>
            <w:sz w:val="24"/>
            <w:szCs w:val="24"/>
          </w:rPr>
          <w:tab/>
        </w:r>
        <w:r w:rsidR="00560A87" w:rsidRPr="009F77C4">
          <w:rPr>
            <w:rFonts w:ascii="Arial" w:hAnsi="Arial" w:cs="Arial"/>
            <w:i w:val="0"/>
            <w:noProof/>
            <w:webHidden/>
            <w:sz w:val="24"/>
            <w:szCs w:val="24"/>
          </w:rPr>
          <w:fldChar w:fldCharType="begin"/>
        </w:r>
        <w:r w:rsidR="00560A87" w:rsidRPr="009F77C4">
          <w:rPr>
            <w:rFonts w:ascii="Arial" w:hAnsi="Arial" w:cs="Arial"/>
            <w:i w:val="0"/>
            <w:noProof/>
            <w:webHidden/>
            <w:sz w:val="24"/>
            <w:szCs w:val="24"/>
          </w:rPr>
          <w:instrText xml:space="preserve"> PAGEREF _Toc4593812 \h </w:instrText>
        </w:r>
        <w:r w:rsidR="00560A87" w:rsidRPr="009F77C4">
          <w:rPr>
            <w:rFonts w:ascii="Arial" w:hAnsi="Arial" w:cs="Arial"/>
            <w:i w:val="0"/>
            <w:noProof/>
            <w:webHidden/>
            <w:sz w:val="24"/>
            <w:szCs w:val="24"/>
          </w:rPr>
        </w:r>
        <w:r w:rsidR="00560A87" w:rsidRPr="009F77C4">
          <w:rPr>
            <w:rFonts w:ascii="Arial" w:hAnsi="Arial" w:cs="Arial"/>
            <w:i w:val="0"/>
            <w:noProof/>
            <w:webHidden/>
            <w:sz w:val="24"/>
            <w:szCs w:val="24"/>
          </w:rPr>
          <w:fldChar w:fldCharType="separate"/>
        </w:r>
        <w:r w:rsidR="00560A87" w:rsidRPr="009F77C4">
          <w:rPr>
            <w:rFonts w:ascii="Arial" w:hAnsi="Arial" w:cs="Arial"/>
            <w:i w:val="0"/>
            <w:noProof/>
            <w:webHidden/>
            <w:sz w:val="24"/>
            <w:szCs w:val="24"/>
          </w:rPr>
          <w:t>7</w:t>
        </w:r>
        <w:r w:rsidR="00560A87" w:rsidRPr="009F77C4">
          <w:rPr>
            <w:rFonts w:ascii="Arial" w:hAnsi="Arial" w:cs="Arial"/>
            <w:i w:val="0"/>
            <w:noProof/>
            <w:webHidden/>
            <w:sz w:val="24"/>
            <w:szCs w:val="24"/>
          </w:rPr>
          <w:fldChar w:fldCharType="end"/>
        </w:r>
      </w:hyperlink>
    </w:p>
    <w:p w14:paraId="48C006AA" w14:textId="77777777" w:rsidR="00560A87" w:rsidRPr="009F77C4" w:rsidRDefault="008305D1" w:rsidP="009F77C4">
      <w:pPr>
        <w:pStyle w:val="TOC2"/>
        <w:tabs>
          <w:tab w:val="right" w:leader="dot" w:pos="9339"/>
        </w:tabs>
        <w:spacing w:line="480" w:lineRule="auto"/>
        <w:rPr>
          <w:rFonts w:ascii="Arial" w:eastAsiaTheme="minorEastAsia" w:hAnsi="Arial" w:cs="Arial"/>
          <w:smallCaps w:val="0"/>
          <w:noProof/>
          <w:kern w:val="0"/>
          <w:sz w:val="24"/>
          <w:szCs w:val="24"/>
          <w:lang w:val="en-AU" w:eastAsia="en-AU"/>
        </w:rPr>
      </w:pPr>
      <w:hyperlink w:anchor="_Toc4593813" w:history="1">
        <w:r w:rsidR="00560A87" w:rsidRPr="009F77C4">
          <w:rPr>
            <w:rStyle w:val="Hyperlink"/>
            <w:rFonts w:ascii="Arial" w:hAnsi="Arial" w:cs="Arial"/>
            <w:noProof/>
            <w:sz w:val="24"/>
            <w:szCs w:val="24"/>
          </w:rPr>
          <w:t>Contact</w:t>
        </w:r>
        <w:r w:rsidR="00560A87" w:rsidRPr="009F77C4">
          <w:rPr>
            <w:rFonts w:ascii="Arial" w:hAnsi="Arial" w:cs="Arial"/>
            <w:noProof/>
            <w:webHidden/>
            <w:sz w:val="24"/>
            <w:szCs w:val="24"/>
          </w:rPr>
          <w:tab/>
        </w:r>
        <w:r w:rsidR="00560A87" w:rsidRPr="009F77C4">
          <w:rPr>
            <w:rFonts w:ascii="Arial" w:hAnsi="Arial" w:cs="Arial"/>
            <w:noProof/>
            <w:webHidden/>
            <w:sz w:val="24"/>
            <w:szCs w:val="24"/>
          </w:rPr>
          <w:fldChar w:fldCharType="begin"/>
        </w:r>
        <w:r w:rsidR="00560A87" w:rsidRPr="009F77C4">
          <w:rPr>
            <w:rFonts w:ascii="Arial" w:hAnsi="Arial" w:cs="Arial"/>
            <w:noProof/>
            <w:webHidden/>
            <w:sz w:val="24"/>
            <w:szCs w:val="24"/>
          </w:rPr>
          <w:instrText xml:space="preserve"> PAGEREF _Toc4593813 \h </w:instrText>
        </w:r>
        <w:r w:rsidR="00560A87" w:rsidRPr="009F77C4">
          <w:rPr>
            <w:rFonts w:ascii="Arial" w:hAnsi="Arial" w:cs="Arial"/>
            <w:noProof/>
            <w:webHidden/>
            <w:sz w:val="24"/>
            <w:szCs w:val="24"/>
          </w:rPr>
        </w:r>
        <w:r w:rsidR="00560A87" w:rsidRPr="009F77C4">
          <w:rPr>
            <w:rFonts w:ascii="Arial" w:hAnsi="Arial" w:cs="Arial"/>
            <w:noProof/>
            <w:webHidden/>
            <w:sz w:val="24"/>
            <w:szCs w:val="24"/>
          </w:rPr>
          <w:fldChar w:fldCharType="separate"/>
        </w:r>
        <w:r w:rsidR="00560A87" w:rsidRPr="009F77C4">
          <w:rPr>
            <w:rFonts w:ascii="Arial" w:hAnsi="Arial" w:cs="Arial"/>
            <w:noProof/>
            <w:webHidden/>
            <w:sz w:val="24"/>
            <w:szCs w:val="24"/>
          </w:rPr>
          <w:t>8</w:t>
        </w:r>
        <w:r w:rsidR="00560A87" w:rsidRPr="009F77C4">
          <w:rPr>
            <w:rFonts w:ascii="Arial" w:hAnsi="Arial" w:cs="Arial"/>
            <w:noProof/>
            <w:webHidden/>
            <w:sz w:val="24"/>
            <w:szCs w:val="24"/>
          </w:rPr>
          <w:fldChar w:fldCharType="end"/>
        </w:r>
      </w:hyperlink>
    </w:p>
    <w:p w14:paraId="01CEA878" w14:textId="15DDF394" w:rsidR="009F1A6D" w:rsidRPr="00651905" w:rsidRDefault="00162A08" w:rsidP="00BB224D">
      <w:pPr>
        <w:pStyle w:val="Heading2"/>
      </w:pPr>
      <w:r w:rsidRPr="00162A08">
        <w:rPr>
          <w:rFonts w:eastAsia="Cambria" w:cs="Arial"/>
          <w:b w:val="0"/>
          <w:bCs w:val="0"/>
          <w:smallCaps/>
          <w:color w:val="auto"/>
          <w:kern w:val="24"/>
          <w:sz w:val="24"/>
          <w:szCs w:val="24"/>
          <w:lang w:val="en-US"/>
        </w:rPr>
        <w:lastRenderedPageBreak/>
        <w:fldChar w:fldCharType="end"/>
      </w:r>
      <w:r w:rsidR="00BB224D">
        <w:t xml:space="preserve"> </w:t>
      </w:r>
      <w:bookmarkStart w:id="3" w:name="_Toc254013"/>
      <w:bookmarkStart w:id="4" w:name="_Toc4593807"/>
      <w:r w:rsidR="00BB224D">
        <w:t>A</w:t>
      </w:r>
      <w:r w:rsidR="00045D81">
        <w:t>bout</w:t>
      </w:r>
      <w:r w:rsidR="0038046D">
        <w:t xml:space="preserve"> AFDO</w:t>
      </w:r>
      <w:bookmarkEnd w:id="3"/>
      <w:bookmarkEnd w:id="4"/>
      <w:r w:rsidR="0038046D">
        <w:t xml:space="preserve"> </w:t>
      </w:r>
    </w:p>
    <w:p w14:paraId="7530CE26" w14:textId="77777777" w:rsidR="009F6A9C" w:rsidRDefault="009F6A9C" w:rsidP="009F6A9C">
      <w:pPr>
        <w:spacing w:after="0" w:line="240" w:lineRule="auto"/>
      </w:pPr>
      <w:r>
        <w:t>Since 2003, the Australian Federation of Disability Organisations (AFDO), a Disabled Peoples Organisation (DPO) and recognised Disability Representative Organisation (DRO), has been the recognised national peak organisation in the disability sector, along with its disability specific members, representing people with disability.</w:t>
      </w:r>
    </w:p>
    <w:p w14:paraId="6C618EE6" w14:textId="77777777" w:rsidR="009F6A9C" w:rsidRDefault="009F6A9C" w:rsidP="009F6A9C">
      <w:pPr>
        <w:spacing w:after="0" w:line="240" w:lineRule="auto"/>
      </w:pPr>
    </w:p>
    <w:p w14:paraId="75B3FA93" w14:textId="77777777" w:rsidR="009F6A9C" w:rsidRDefault="009F6A9C" w:rsidP="009F6A9C">
      <w:pPr>
        <w:spacing w:after="0" w:line="240" w:lineRule="auto"/>
      </w:pPr>
      <w:r>
        <w:t xml:space="preserve">AFDO’s mission is to champion the rights of people with disability in Australia and support them to participate fully in Australian life. </w:t>
      </w:r>
    </w:p>
    <w:p w14:paraId="14A0BE55" w14:textId="77777777" w:rsidR="009F6A9C" w:rsidRDefault="009F6A9C" w:rsidP="009F6A9C">
      <w:pPr>
        <w:spacing w:after="0" w:line="240" w:lineRule="auto"/>
      </w:pPr>
    </w:p>
    <w:p w14:paraId="75B29021" w14:textId="77777777" w:rsidR="009F6A9C" w:rsidRDefault="009F6A9C" w:rsidP="009F6A9C">
      <w:pPr>
        <w:spacing w:after="0" w:line="240" w:lineRule="auto"/>
      </w:pPr>
      <w:r>
        <w:t>As one of the three founding members of the National Disability and Carer Alliance, AFDO played a key role in the campaign for the introduction of the National Disability Insurance Scheme (NDIS) through its “Every Australian Counts” campaign.  As the NDIS has moved through the trial phase and begun the transition to full scheme, AFDO and its members have continued to work constructively with the National Disability Insurance Agency (NDIA) as well as Commonwealth, State and Territory governments to provide critical feedback and address implementation issues as they arise.</w:t>
      </w:r>
    </w:p>
    <w:p w14:paraId="5E50263E" w14:textId="77777777" w:rsidR="009F6A9C" w:rsidRDefault="009F6A9C" w:rsidP="009F6A9C">
      <w:pPr>
        <w:spacing w:after="0" w:line="240" w:lineRule="auto"/>
      </w:pPr>
    </w:p>
    <w:p w14:paraId="50013B1B" w14:textId="4DB1ABCE" w:rsidR="005B06C9" w:rsidRDefault="009F6A9C" w:rsidP="009F6A9C">
      <w:pPr>
        <w:spacing w:after="0" w:line="240" w:lineRule="auto"/>
      </w:pPr>
      <w:r>
        <w:t xml:space="preserve">Our </w:t>
      </w:r>
      <w:r w:rsidR="001068A9">
        <w:t xml:space="preserve">17 full </w:t>
      </w:r>
      <w:r>
        <w:t>member organisations</w:t>
      </w:r>
      <w:r w:rsidR="00560A87">
        <w:t xml:space="preserve">, with nearly all being DPO’s and 10 national members also being recognised DRO’s, </w:t>
      </w:r>
      <w:r>
        <w:t xml:space="preserve">represent disability specific communities </w:t>
      </w:r>
      <w:r w:rsidR="00560A87">
        <w:t xml:space="preserve">and advocacy organisations with a </w:t>
      </w:r>
      <w:r w:rsidR="00560A87" w:rsidRPr="00560A87">
        <w:rPr>
          <w:b/>
        </w:rPr>
        <w:t xml:space="preserve">total reach </w:t>
      </w:r>
      <w:r w:rsidRPr="00560A87">
        <w:rPr>
          <w:b/>
        </w:rPr>
        <w:t>over 1</w:t>
      </w:r>
      <w:r w:rsidR="001068A9" w:rsidRPr="00560A87">
        <w:rPr>
          <w:b/>
        </w:rPr>
        <w:t>.</w:t>
      </w:r>
      <w:r w:rsidRPr="00560A87">
        <w:rPr>
          <w:b/>
        </w:rPr>
        <w:t>7</w:t>
      </w:r>
      <w:r w:rsidR="001068A9" w:rsidRPr="00560A87">
        <w:rPr>
          <w:b/>
        </w:rPr>
        <w:t xml:space="preserve"> million</w:t>
      </w:r>
      <w:r w:rsidRPr="00560A87">
        <w:rPr>
          <w:b/>
        </w:rPr>
        <w:t xml:space="preserve"> Australians</w:t>
      </w:r>
      <w:r w:rsidRPr="00560A87">
        <w:t>.</w:t>
      </w:r>
    </w:p>
    <w:p w14:paraId="4A33C6B5" w14:textId="77777777" w:rsidR="009F6A9C" w:rsidRPr="00816F20" w:rsidRDefault="009F6A9C" w:rsidP="009F6A9C">
      <w:pPr>
        <w:spacing w:after="0" w:line="240" w:lineRule="auto"/>
        <w:rPr>
          <w:sz w:val="16"/>
        </w:rPr>
      </w:pPr>
    </w:p>
    <w:p w14:paraId="789CE20F" w14:textId="77777777" w:rsidR="005B06C9" w:rsidRPr="005B06C9" w:rsidRDefault="005B06C9" w:rsidP="005B06C9">
      <w:pPr>
        <w:spacing w:after="0" w:line="240" w:lineRule="auto"/>
        <w:rPr>
          <w:sz w:val="8"/>
          <w:szCs w:val="8"/>
        </w:rPr>
      </w:pPr>
    </w:p>
    <w:p w14:paraId="5A4557B8" w14:textId="77777777" w:rsidR="005B06C9" w:rsidRPr="00816F20" w:rsidRDefault="0038046D" w:rsidP="005B06C9">
      <w:pPr>
        <w:spacing w:after="0" w:line="240" w:lineRule="auto"/>
        <w:rPr>
          <w:b/>
          <w:sz w:val="22"/>
        </w:rPr>
      </w:pPr>
      <w:r w:rsidRPr="00816F20">
        <w:rPr>
          <w:b/>
          <w:sz w:val="22"/>
        </w:rPr>
        <w:t>AFDO’s members include:</w:t>
      </w:r>
    </w:p>
    <w:p w14:paraId="59F18E45" w14:textId="314310AD" w:rsidR="0038046D" w:rsidRPr="00816F20" w:rsidRDefault="0038046D" w:rsidP="005B06C9">
      <w:pPr>
        <w:spacing w:after="0" w:line="240" w:lineRule="auto"/>
        <w:rPr>
          <w:b/>
          <w:sz w:val="22"/>
        </w:rPr>
      </w:pPr>
      <w:r w:rsidRPr="00816F20">
        <w:rPr>
          <w:b/>
          <w:sz w:val="22"/>
        </w:rPr>
        <w:t xml:space="preserve"> </w:t>
      </w:r>
    </w:p>
    <w:p w14:paraId="7C4840DE" w14:textId="77777777" w:rsidR="008278AF" w:rsidRPr="00816F20" w:rsidRDefault="008278AF" w:rsidP="00592BFE">
      <w:pPr>
        <w:rPr>
          <w:color w:val="000000"/>
          <w:sz w:val="12"/>
          <w:shd w:val="clear" w:color="auto" w:fill="FFFFFF"/>
        </w:rPr>
        <w:sectPr w:rsidR="008278AF" w:rsidRPr="00816F20" w:rsidSect="00816F20">
          <w:headerReference w:type="even" r:id="rId9"/>
          <w:headerReference w:type="default" r:id="rId10"/>
          <w:headerReference w:type="first" r:id="rId11"/>
          <w:footerReference w:type="first" r:id="rId12"/>
          <w:pgSz w:w="11901" w:h="16817"/>
          <w:pgMar w:top="426" w:right="1134" w:bottom="1474" w:left="1418" w:header="709" w:footer="963" w:gutter="0"/>
          <w:cols w:space="708"/>
          <w:docGrid w:linePitch="326"/>
        </w:sectPr>
      </w:pPr>
    </w:p>
    <w:p w14:paraId="22EBDAB0" w14:textId="072046C9" w:rsidR="0038046D" w:rsidRPr="00816F20" w:rsidRDefault="0038046D" w:rsidP="005B06C9">
      <w:pPr>
        <w:spacing w:after="0"/>
        <w:rPr>
          <w:color w:val="000000"/>
          <w:sz w:val="22"/>
          <w:shd w:val="clear" w:color="auto" w:fill="FFFFFF"/>
        </w:rPr>
      </w:pPr>
      <w:r w:rsidRPr="00816F20">
        <w:rPr>
          <w:color w:val="000000"/>
          <w:sz w:val="22"/>
          <w:shd w:val="clear" w:color="auto" w:fill="FFFFFF"/>
        </w:rPr>
        <w:t>Blind Citizens Australia</w:t>
      </w:r>
    </w:p>
    <w:p w14:paraId="4D3161D0"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Brain Injury Australia</w:t>
      </w:r>
    </w:p>
    <w:p w14:paraId="7A82342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 Australia</w:t>
      </w:r>
    </w:p>
    <w:p w14:paraId="701813A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Deafblind Australia</w:t>
      </w:r>
    </w:p>
    <w:p w14:paraId="66B72384" w14:textId="77777777" w:rsidR="0038046D" w:rsidRPr="00816F20" w:rsidRDefault="0038046D" w:rsidP="005B06C9">
      <w:pPr>
        <w:spacing w:after="0"/>
        <w:rPr>
          <w:rFonts w:ascii="Times" w:hAnsi="Times"/>
          <w:sz w:val="22"/>
        </w:rPr>
      </w:pPr>
      <w:r w:rsidRPr="00816F20">
        <w:rPr>
          <w:color w:val="000000"/>
          <w:sz w:val="22"/>
          <w:shd w:val="clear" w:color="auto" w:fill="FFFFFF"/>
        </w:rPr>
        <w:t>Autism Aspergers Advocacy Australia</w:t>
      </w:r>
    </w:p>
    <w:p w14:paraId="1ADA792A"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 xml:space="preserve">Down </w:t>
      </w:r>
      <w:proofErr w:type="gramStart"/>
      <w:r w:rsidRPr="00816F20">
        <w:rPr>
          <w:color w:val="000000"/>
          <w:sz w:val="22"/>
          <w:shd w:val="clear" w:color="auto" w:fill="FFFFFF"/>
        </w:rPr>
        <w:t>Syndrome</w:t>
      </w:r>
      <w:proofErr w:type="gramEnd"/>
      <w:r w:rsidRPr="00816F20">
        <w:rPr>
          <w:color w:val="000000"/>
          <w:sz w:val="22"/>
          <w:shd w:val="clear" w:color="auto" w:fill="FFFFFF"/>
        </w:rPr>
        <w:t xml:space="preserve"> Australia</w:t>
      </w:r>
    </w:p>
    <w:p w14:paraId="4A66FD8D"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Physical Disability Australia</w:t>
      </w:r>
    </w:p>
    <w:p w14:paraId="6C19D40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Advocacy Network Australia</w:t>
      </w:r>
    </w:p>
    <w:p w14:paraId="6E503B6E" w14:textId="38A1D7D4" w:rsidR="00607D1E" w:rsidRDefault="0038046D" w:rsidP="005B06C9">
      <w:pPr>
        <w:spacing w:after="0"/>
        <w:rPr>
          <w:color w:val="000000"/>
          <w:sz w:val="22"/>
          <w:shd w:val="clear" w:color="auto" w:fill="FFFFFF"/>
        </w:rPr>
      </w:pPr>
      <w:r w:rsidRPr="00816F20">
        <w:rPr>
          <w:color w:val="000000"/>
          <w:sz w:val="22"/>
          <w:shd w:val="clear" w:color="auto" w:fill="FFFFFF"/>
        </w:rPr>
        <w:t>Disability Justice A</w:t>
      </w:r>
      <w:r w:rsidR="009F6A9C">
        <w:rPr>
          <w:color w:val="000000"/>
          <w:sz w:val="22"/>
          <w:shd w:val="clear" w:color="auto" w:fill="FFFFFF"/>
        </w:rPr>
        <w:t>ustralia</w:t>
      </w:r>
    </w:p>
    <w:p w14:paraId="4FBCBE5A" w14:textId="77777777" w:rsidR="00560A87" w:rsidRPr="009F77C4" w:rsidRDefault="00560A87" w:rsidP="005B06C9">
      <w:pPr>
        <w:spacing w:after="0"/>
        <w:rPr>
          <w:color w:val="000000"/>
          <w:sz w:val="12"/>
          <w:szCs w:val="12"/>
          <w:shd w:val="clear" w:color="auto" w:fill="FFFFFF"/>
        </w:rPr>
      </w:pPr>
    </w:p>
    <w:p w14:paraId="16DF6C32" w14:textId="77777777" w:rsidR="00560A87" w:rsidRPr="00560A87" w:rsidRDefault="00560A87" w:rsidP="005B06C9">
      <w:pPr>
        <w:spacing w:after="0"/>
        <w:rPr>
          <w:color w:val="000000"/>
          <w:sz w:val="14"/>
          <w:shd w:val="clear" w:color="auto" w:fill="FFFFFF"/>
        </w:rPr>
      </w:pPr>
    </w:p>
    <w:p w14:paraId="7E00690E" w14:textId="70CB379E" w:rsidR="008278AF" w:rsidRPr="00816F20" w:rsidRDefault="008278AF" w:rsidP="005B06C9">
      <w:pPr>
        <w:spacing w:after="0"/>
        <w:rPr>
          <w:color w:val="000000"/>
          <w:sz w:val="22"/>
          <w:shd w:val="clear" w:color="auto" w:fill="FFFFFF"/>
        </w:rPr>
      </w:pPr>
      <w:r w:rsidRPr="00816F20">
        <w:rPr>
          <w:color w:val="000000"/>
          <w:sz w:val="22"/>
          <w:shd w:val="clear" w:color="auto" w:fill="FFFFFF"/>
        </w:rPr>
        <w:t>People with Disability WA</w:t>
      </w:r>
    </w:p>
    <w:p w14:paraId="1C9BE8D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Resources Centre</w:t>
      </w:r>
    </w:p>
    <w:p w14:paraId="70446549" w14:textId="77777777" w:rsidR="002A789C" w:rsidRPr="00816F20" w:rsidRDefault="002A789C" w:rsidP="005B06C9">
      <w:pPr>
        <w:spacing w:after="0"/>
        <w:rPr>
          <w:color w:val="000000"/>
          <w:sz w:val="22"/>
          <w:shd w:val="clear" w:color="auto" w:fill="FFFFFF"/>
        </w:rPr>
      </w:pPr>
      <w:r w:rsidRPr="00816F20">
        <w:rPr>
          <w:color w:val="000000"/>
          <w:sz w:val="22"/>
          <w:shd w:val="clear" w:color="auto" w:fill="FFFFFF"/>
        </w:rPr>
        <w:t>Inclusion Australia (NCID)</w:t>
      </w:r>
    </w:p>
    <w:p w14:paraId="24402486" w14:textId="0AEE8FF8" w:rsidR="0038046D" w:rsidRPr="00816F20" w:rsidRDefault="005D1E2A" w:rsidP="005B06C9">
      <w:pPr>
        <w:spacing w:after="0"/>
        <w:rPr>
          <w:color w:val="000000"/>
          <w:sz w:val="22"/>
          <w:shd w:val="clear" w:color="auto" w:fill="FFFFFF"/>
        </w:rPr>
      </w:pPr>
      <w:r w:rsidRPr="00816F20">
        <w:rPr>
          <w:color w:val="000000"/>
          <w:sz w:val="22"/>
          <w:shd w:val="clear" w:color="auto" w:fill="FFFFFF"/>
        </w:rPr>
        <w:t>People with Disabilities</w:t>
      </w:r>
      <w:r w:rsidR="0052531C" w:rsidRPr="00816F20">
        <w:rPr>
          <w:color w:val="000000"/>
          <w:sz w:val="22"/>
          <w:shd w:val="clear" w:color="auto" w:fill="FFFFFF"/>
        </w:rPr>
        <w:t xml:space="preserve"> </w:t>
      </w:r>
      <w:r w:rsidR="0038046D" w:rsidRPr="00816F20">
        <w:rPr>
          <w:color w:val="000000"/>
          <w:sz w:val="22"/>
          <w:shd w:val="clear" w:color="auto" w:fill="FFFFFF"/>
        </w:rPr>
        <w:t xml:space="preserve">ACT </w:t>
      </w:r>
    </w:p>
    <w:p w14:paraId="33C2339A" w14:textId="77777777" w:rsidR="003615B6" w:rsidRPr="00816F20" w:rsidRDefault="003615B6" w:rsidP="005B06C9">
      <w:pPr>
        <w:spacing w:after="0"/>
        <w:rPr>
          <w:color w:val="000000"/>
          <w:sz w:val="22"/>
          <w:shd w:val="clear" w:color="auto" w:fill="FFFFFF"/>
        </w:rPr>
      </w:pPr>
      <w:r w:rsidRPr="00816F20">
        <w:rPr>
          <w:color w:val="000000"/>
          <w:sz w:val="22"/>
          <w:shd w:val="clear" w:color="auto" w:fill="FFFFFF"/>
        </w:rPr>
        <w:t>Women with Disabilities Victoria</w:t>
      </w:r>
    </w:p>
    <w:p w14:paraId="4BC5E6CB" w14:textId="3C42693F" w:rsidR="0038046D" w:rsidRPr="00816F20" w:rsidRDefault="0038046D" w:rsidP="005B06C9">
      <w:pPr>
        <w:spacing w:after="0"/>
        <w:rPr>
          <w:color w:val="000000"/>
          <w:sz w:val="22"/>
          <w:shd w:val="clear" w:color="auto" w:fill="FFFFFF"/>
        </w:rPr>
      </w:pPr>
      <w:r w:rsidRPr="00816F20">
        <w:rPr>
          <w:color w:val="000000"/>
          <w:sz w:val="22"/>
          <w:shd w:val="clear" w:color="auto" w:fill="FFFFFF"/>
        </w:rPr>
        <w:t>Enhanced Lifestyles</w:t>
      </w:r>
    </w:p>
    <w:p w14:paraId="3A6902F4" w14:textId="719CD559" w:rsidR="00CC4314" w:rsidRPr="00816F20" w:rsidRDefault="00CC4314" w:rsidP="005B06C9">
      <w:pPr>
        <w:spacing w:after="0"/>
        <w:rPr>
          <w:color w:val="000000"/>
          <w:sz w:val="22"/>
          <w:shd w:val="clear" w:color="auto" w:fill="FFFFFF"/>
        </w:rPr>
      </w:pPr>
      <w:r w:rsidRPr="00816F20">
        <w:rPr>
          <w:color w:val="000000"/>
          <w:sz w:val="22"/>
          <w:shd w:val="clear" w:color="auto" w:fill="FFFFFF"/>
        </w:rPr>
        <w:t>Deafness Forum</w:t>
      </w:r>
      <w:r w:rsidR="003365FD" w:rsidRPr="00816F20">
        <w:rPr>
          <w:color w:val="000000"/>
          <w:sz w:val="22"/>
          <w:shd w:val="clear" w:color="auto" w:fill="FFFFFF"/>
        </w:rPr>
        <w:t xml:space="preserve"> of Australia</w:t>
      </w:r>
    </w:p>
    <w:p w14:paraId="1609E33D" w14:textId="145F46D9" w:rsidR="00607D1E" w:rsidRPr="00816F20" w:rsidRDefault="00EC1E5C" w:rsidP="005B06C9">
      <w:pPr>
        <w:spacing w:after="0"/>
        <w:rPr>
          <w:color w:val="000000"/>
          <w:sz w:val="22"/>
          <w:shd w:val="clear" w:color="auto" w:fill="FFFFFF"/>
        </w:rPr>
      </w:pPr>
      <w:r w:rsidRPr="00816F20">
        <w:rPr>
          <w:color w:val="000000"/>
          <w:sz w:val="22"/>
          <w:shd w:val="clear" w:color="auto" w:fill="FFFFFF"/>
        </w:rPr>
        <w:t>Women with Disabilities ACT</w:t>
      </w:r>
    </w:p>
    <w:p w14:paraId="034E051F" w14:textId="77777777" w:rsidR="008278AF" w:rsidRDefault="008278AF" w:rsidP="00592BFE">
      <w:pPr>
        <w:rPr>
          <w:color w:val="000000"/>
          <w:sz w:val="22"/>
          <w:shd w:val="clear" w:color="auto" w:fill="FFFFFF"/>
        </w:rPr>
      </w:pPr>
    </w:p>
    <w:p w14:paraId="1A1E5DB2" w14:textId="77777777" w:rsidR="00560A87" w:rsidRPr="00816F20" w:rsidRDefault="00560A87" w:rsidP="00592BFE">
      <w:pPr>
        <w:rPr>
          <w:color w:val="000000"/>
          <w:sz w:val="22"/>
          <w:shd w:val="clear" w:color="auto" w:fill="FFFFFF"/>
        </w:rPr>
        <w:sectPr w:rsidR="00560A87" w:rsidRPr="00816F20" w:rsidSect="009F77C4">
          <w:type w:val="continuous"/>
          <w:pgSz w:w="11901" w:h="16817"/>
          <w:pgMar w:top="851" w:right="1134" w:bottom="709" w:left="1418" w:header="709" w:footer="963" w:gutter="0"/>
          <w:cols w:num="2" w:space="708"/>
          <w:titlePg/>
        </w:sectPr>
      </w:pPr>
    </w:p>
    <w:p w14:paraId="401B2164" w14:textId="77777777" w:rsidR="006259F7" w:rsidRDefault="00607D1E" w:rsidP="005B06C9">
      <w:pPr>
        <w:ind w:hanging="426"/>
        <w:jc w:val="center"/>
        <w:rPr>
          <w:color w:val="000000"/>
          <w:shd w:val="clear" w:color="auto" w:fill="FFFFFF"/>
        </w:rPr>
      </w:pPr>
      <w:r>
        <w:rPr>
          <w:noProof/>
          <w:color w:val="000000"/>
          <w:shd w:val="clear" w:color="auto" w:fill="FFFFFF"/>
          <w:lang w:val="en-AU" w:eastAsia="en-AU"/>
        </w:rPr>
        <w:drawing>
          <wp:inline distT="0" distB="0" distL="0" distR="0" wp14:anchorId="589D4F62" wp14:editId="7FE93535">
            <wp:extent cx="6092732" cy="280035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7 logos together as one image.JPG"/>
                    <pic:cNvPicPr/>
                  </pic:nvPicPr>
                  <pic:blipFill>
                    <a:blip r:embed="rId13">
                      <a:extLst>
                        <a:ext uri="{28A0092B-C50C-407E-A947-70E740481C1C}">
                          <a14:useLocalDpi xmlns:a14="http://schemas.microsoft.com/office/drawing/2010/main" val="0"/>
                        </a:ext>
                      </a:extLst>
                    </a:blip>
                    <a:stretch>
                      <a:fillRect/>
                    </a:stretch>
                  </pic:blipFill>
                  <pic:spPr>
                    <a:xfrm>
                      <a:off x="0" y="0"/>
                      <a:ext cx="6092732" cy="2800350"/>
                    </a:xfrm>
                    <a:prstGeom prst="rect">
                      <a:avLst/>
                    </a:prstGeom>
                  </pic:spPr>
                </pic:pic>
              </a:graphicData>
            </a:graphic>
          </wp:inline>
        </w:drawing>
      </w:r>
    </w:p>
    <w:p w14:paraId="0EB7B405" w14:textId="28AD987D" w:rsidR="00D1259C" w:rsidRPr="00D1259C" w:rsidRDefault="00D1259C" w:rsidP="00D1259C">
      <w:pPr>
        <w:pStyle w:val="Heading2"/>
      </w:pPr>
      <w:bookmarkStart w:id="5" w:name="_Toc532371531"/>
      <w:bookmarkStart w:id="6" w:name="_Toc254014"/>
      <w:bookmarkStart w:id="7" w:name="_Toc4593808"/>
      <w:r w:rsidRPr="00D1259C">
        <w:t>Introduction</w:t>
      </w:r>
      <w:bookmarkEnd w:id="5"/>
      <w:bookmarkEnd w:id="6"/>
      <w:bookmarkEnd w:id="7"/>
    </w:p>
    <w:p w14:paraId="42A6B7A3" w14:textId="2085F524" w:rsidR="00560A87" w:rsidRDefault="00560A87" w:rsidP="009F6A9C">
      <w:pPr>
        <w:rPr>
          <w:lang w:val="en"/>
        </w:rPr>
      </w:pPr>
      <w:r>
        <w:rPr>
          <w:lang w:val="en"/>
        </w:rPr>
        <w:t xml:space="preserve">AFDO and our 17 full member </w:t>
      </w:r>
      <w:r w:rsidRPr="00560A87">
        <w:rPr>
          <w:noProof/>
          <w:lang w:val="en"/>
        </w:rPr>
        <w:t>organisations</w:t>
      </w:r>
      <w:r>
        <w:rPr>
          <w:lang w:val="en"/>
        </w:rPr>
        <w:t xml:space="preserve"> </w:t>
      </w:r>
      <w:r w:rsidRPr="00560A87">
        <w:rPr>
          <w:noProof/>
          <w:lang w:val="en"/>
        </w:rPr>
        <w:t>welcome</w:t>
      </w:r>
      <w:r>
        <w:rPr>
          <w:lang w:val="en"/>
        </w:rPr>
        <w:t xml:space="preserve"> the Coalition Governments commitment to a Royal Commission into Violence, Abuse, Neglect </w:t>
      </w:r>
      <w:r w:rsidR="00395F26">
        <w:rPr>
          <w:lang w:val="en"/>
        </w:rPr>
        <w:t xml:space="preserve">and Exploitation </w:t>
      </w:r>
      <w:r>
        <w:rPr>
          <w:lang w:val="en"/>
        </w:rPr>
        <w:t>of People with Disability across all settings in Australia.</w:t>
      </w:r>
    </w:p>
    <w:p w14:paraId="77A940F7" w14:textId="2B6AC6E9" w:rsidR="004668B7" w:rsidRDefault="004668B7" w:rsidP="009F6A9C">
      <w:pPr>
        <w:rPr>
          <w:lang w:val="en"/>
        </w:rPr>
      </w:pPr>
      <w:r>
        <w:rPr>
          <w:lang w:val="en"/>
        </w:rPr>
        <w:t xml:space="preserve">For well over seven years AFDO and </w:t>
      </w:r>
      <w:r w:rsidR="00560A87">
        <w:rPr>
          <w:lang w:val="en"/>
        </w:rPr>
        <w:t>our</w:t>
      </w:r>
      <w:r>
        <w:rPr>
          <w:lang w:val="en"/>
        </w:rPr>
        <w:t xml:space="preserve"> member organisations have been seeking a Royal Commission </w:t>
      </w:r>
      <w:r w:rsidR="00395F26">
        <w:rPr>
          <w:lang w:val="en"/>
        </w:rPr>
        <w:t xml:space="preserve">into Violence, Abuse, Neglect and Exploitation </w:t>
      </w:r>
      <w:r>
        <w:rPr>
          <w:lang w:val="en"/>
        </w:rPr>
        <w:t>of people with disability.</w:t>
      </w:r>
    </w:p>
    <w:p w14:paraId="3CC792C8" w14:textId="549CB312" w:rsidR="004668B7" w:rsidRDefault="004668B7" w:rsidP="009F6A9C">
      <w:pPr>
        <w:rPr>
          <w:lang w:val="en"/>
        </w:rPr>
      </w:pPr>
      <w:r>
        <w:rPr>
          <w:lang w:val="en"/>
        </w:rPr>
        <w:t>We understand the serious</w:t>
      </w:r>
      <w:r w:rsidR="00560A87">
        <w:rPr>
          <w:lang w:val="en"/>
        </w:rPr>
        <w:t>ness of</w:t>
      </w:r>
      <w:r>
        <w:rPr>
          <w:lang w:val="en"/>
        </w:rPr>
        <w:t xml:space="preserve"> issues </w:t>
      </w:r>
      <w:r w:rsidR="00560A87">
        <w:rPr>
          <w:lang w:val="en"/>
        </w:rPr>
        <w:t xml:space="preserve">first hand, </w:t>
      </w:r>
      <w:r>
        <w:rPr>
          <w:lang w:val="en"/>
        </w:rPr>
        <w:t xml:space="preserve">which people with disability have to deal with across all environments in Australia on a daily basis, including as you are reading this submission. This is inclusive of; extreme violence resulting in the deaths of </w:t>
      </w:r>
      <w:r w:rsidR="00395F26">
        <w:rPr>
          <w:lang w:val="en"/>
        </w:rPr>
        <w:t>people with disability</w:t>
      </w:r>
      <w:r>
        <w:rPr>
          <w:lang w:val="en"/>
        </w:rPr>
        <w:t xml:space="preserve">, sexual assault &amp; abuse, restraint and physical deprivation, emotional &amp; financial abuse or exploitation, basic and comprehensive neglect and a disturbing array of human rights abuses contrary to </w:t>
      </w:r>
      <w:r w:rsidR="00E96B69">
        <w:rPr>
          <w:lang w:val="en"/>
        </w:rPr>
        <w:t xml:space="preserve">law and </w:t>
      </w:r>
      <w:r>
        <w:rPr>
          <w:lang w:val="en"/>
        </w:rPr>
        <w:t xml:space="preserve">the UNCRPD of which Australia is a signatory. </w:t>
      </w:r>
    </w:p>
    <w:p w14:paraId="0AE7C080" w14:textId="184C9B42" w:rsidR="004668B7" w:rsidRDefault="004668B7" w:rsidP="009F6A9C">
      <w:pPr>
        <w:rPr>
          <w:lang w:val="en"/>
        </w:rPr>
      </w:pPr>
      <w:r>
        <w:rPr>
          <w:lang w:val="en"/>
        </w:rPr>
        <w:t xml:space="preserve">AFDO, its members, other peaks, </w:t>
      </w:r>
      <w:r w:rsidR="00395F26">
        <w:rPr>
          <w:lang w:val="en"/>
        </w:rPr>
        <w:t>people with disability</w:t>
      </w:r>
      <w:r>
        <w:rPr>
          <w:lang w:val="en"/>
        </w:rPr>
        <w:t xml:space="preserve">, their families, supporters, sector colleagues and stakeholders as well as human rights advocates have continued an unrelenting and extensive campaign to obtain </w:t>
      </w:r>
      <w:r w:rsidR="00395F26">
        <w:rPr>
          <w:lang w:val="en"/>
        </w:rPr>
        <w:t>a Royal Commission</w:t>
      </w:r>
      <w:r>
        <w:rPr>
          <w:lang w:val="en"/>
        </w:rPr>
        <w:t xml:space="preserve">. Until now this has been unsuccessful despite numerous inquiries across multiple jurisdictions as well as a Senate Inquiry in 2015, which recommended </w:t>
      </w:r>
      <w:r w:rsidR="00395F26">
        <w:rPr>
          <w:lang w:val="en"/>
        </w:rPr>
        <w:t xml:space="preserve">a Royal Commission </w:t>
      </w:r>
      <w:r>
        <w:rPr>
          <w:lang w:val="en"/>
        </w:rPr>
        <w:t>be established based on the evidence it reviewed at that time.</w:t>
      </w:r>
    </w:p>
    <w:p w14:paraId="33E1B177" w14:textId="7E699CDF" w:rsidR="009F6A9C" w:rsidRDefault="004668B7" w:rsidP="009F6A9C">
      <w:pPr>
        <w:rPr>
          <w:lang w:val="en"/>
        </w:rPr>
      </w:pPr>
      <w:r>
        <w:rPr>
          <w:lang w:val="en"/>
        </w:rPr>
        <w:t xml:space="preserve">In 2017 the Federal Opposition Leader, Hon. Bill Shorten committed the Australian Labor Party </w:t>
      </w:r>
      <w:r w:rsidR="00E96B69">
        <w:rPr>
          <w:lang w:val="en"/>
        </w:rPr>
        <w:t xml:space="preserve">(ALP) </w:t>
      </w:r>
      <w:r>
        <w:rPr>
          <w:lang w:val="en"/>
        </w:rPr>
        <w:t xml:space="preserve">to </w:t>
      </w:r>
      <w:r w:rsidRPr="00560A87">
        <w:rPr>
          <w:noProof/>
          <w:lang w:val="en"/>
        </w:rPr>
        <w:t>implement</w:t>
      </w:r>
      <w:r>
        <w:rPr>
          <w:lang w:val="en"/>
        </w:rPr>
        <w:t xml:space="preserve"> </w:t>
      </w:r>
      <w:r w:rsidR="009F77C4">
        <w:rPr>
          <w:lang w:val="en"/>
        </w:rPr>
        <w:t xml:space="preserve">a Royal Commission </w:t>
      </w:r>
      <w:r>
        <w:rPr>
          <w:lang w:val="en"/>
        </w:rPr>
        <w:t xml:space="preserve">when they obtained office. This was further backed up in late 2018, with a commitment </w:t>
      </w:r>
      <w:r w:rsidR="00E96B69">
        <w:rPr>
          <w:lang w:val="en"/>
        </w:rPr>
        <w:t>of</w:t>
      </w:r>
      <w:r w:rsidR="00560A87">
        <w:rPr>
          <w:lang w:val="en"/>
        </w:rPr>
        <w:t xml:space="preserve"> $</w:t>
      </w:r>
      <w:r>
        <w:rPr>
          <w:lang w:val="en"/>
        </w:rPr>
        <w:t xml:space="preserve">26 million dollars </w:t>
      </w:r>
      <w:r w:rsidR="009F77C4">
        <w:rPr>
          <w:noProof/>
          <w:lang w:val="en"/>
        </w:rPr>
        <w:t xml:space="preserve">to </w:t>
      </w:r>
      <w:r w:rsidR="00E96B69">
        <w:rPr>
          <w:noProof/>
          <w:lang w:val="en"/>
        </w:rPr>
        <w:t>fund this work.</w:t>
      </w:r>
    </w:p>
    <w:p w14:paraId="4E6A872D" w14:textId="34B40190" w:rsidR="004668B7" w:rsidRDefault="004668B7" w:rsidP="009F6A9C">
      <w:pPr>
        <w:rPr>
          <w:lang w:val="en"/>
        </w:rPr>
      </w:pPr>
      <w:r>
        <w:rPr>
          <w:lang w:val="en"/>
        </w:rPr>
        <w:t xml:space="preserve">In February this year, </w:t>
      </w:r>
      <w:r w:rsidR="00B81411">
        <w:rPr>
          <w:lang w:val="en"/>
        </w:rPr>
        <w:t xml:space="preserve">The </w:t>
      </w:r>
      <w:r>
        <w:rPr>
          <w:lang w:val="en"/>
        </w:rPr>
        <w:t xml:space="preserve">Greens Senator, Jordon Steel-John, proposed a motion for </w:t>
      </w:r>
      <w:r w:rsidR="009F77C4">
        <w:rPr>
          <w:lang w:val="en"/>
        </w:rPr>
        <w:t xml:space="preserve">a Royal Commission </w:t>
      </w:r>
      <w:r>
        <w:rPr>
          <w:lang w:val="en"/>
        </w:rPr>
        <w:t xml:space="preserve">which was supported by </w:t>
      </w:r>
      <w:r w:rsidR="00B81411">
        <w:rPr>
          <w:lang w:val="en"/>
        </w:rPr>
        <w:t>T</w:t>
      </w:r>
      <w:r>
        <w:rPr>
          <w:lang w:val="en"/>
        </w:rPr>
        <w:t xml:space="preserve">he Greens, the ALP and also a number of </w:t>
      </w:r>
      <w:r w:rsidR="00560A87" w:rsidRPr="00560A87">
        <w:rPr>
          <w:noProof/>
          <w:lang w:val="en"/>
        </w:rPr>
        <w:t>cros</w:t>
      </w:r>
      <w:r w:rsidR="00560A87">
        <w:rPr>
          <w:noProof/>
          <w:lang w:val="en"/>
        </w:rPr>
        <w:t>s-</w:t>
      </w:r>
      <w:r w:rsidRPr="00560A87">
        <w:rPr>
          <w:noProof/>
          <w:lang w:val="en"/>
        </w:rPr>
        <w:t>bench</w:t>
      </w:r>
      <w:r>
        <w:rPr>
          <w:lang w:val="en"/>
        </w:rPr>
        <w:t xml:space="preserve"> Senators. This passed in the Senate and was then referred to the House of Representatives.</w:t>
      </w:r>
    </w:p>
    <w:p w14:paraId="1D0A5269" w14:textId="4C6921DC" w:rsidR="004668B7" w:rsidRDefault="004668B7" w:rsidP="009F6A9C">
      <w:pPr>
        <w:rPr>
          <w:lang w:val="en"/>
        </w:rPr>
      </w:pPr>
      <w:r>
        <w:rPr>
          <w:lang w:val="en"/>
        </w:rPr>
        <w:t xml:space="preserve">The House of Representatives </w:t>
      </w:r>
      <w:r w:rsidR="00560A87">
        <w:rPr>
          <w:lang w:val="en"/>
        </w:rPr>
        <w:t xml:space="preserve">agreed with </w:t>
      </w:r>
      <w:r>
        <w:rPr>
          <w:lang w:val="en"/>
        </w:rPr>
        <w:t xml:space="preserve">this motion and following </w:t>
      </w:r>
      <w:r w:rsidR="00560A87">
        <w:rPr>
          <w:lang w:val="en"/>
        </w:rPr>
        <w:t>on</w:t>
      </w:r>
      <w:r w:rsidRPr="00560A87">
        <w:rPr>
          <w:noProof/>
          <w:lang w:val="en"/>
        </w:rPr>
        <w:t xml:space="preserve"> the</w:t>
      </w:r>
      <w:r>
        <w:rPr>
          <w:lang w:val="en"/>
        </w:rPr>
        <w:t xml:space="preserve"> Prime Minister committed the Coalition Government to </w:t>
      </w:r>
      <w:r w:rsidRPr="00560A87">
        <w:rPr>
          <w:noProof/>
          <w:lang w:val="en"/>
        </w:rPr>
        <w:t>support</w:t>
      </w:r>
      <w:r>
        <w:rPr>
          <w:lang w:val="en"/>
        </w:rPr>
        <w:t xml:space="preserve"> the implementation of </w:t>
      </w:r>
      <w:r w:rsidR="009F77C4">
        <w:rPr>
          <w:lang w:val="en"/>
        </w:rPr>
        <w:t xml:space="preserve">a Royal Commission </w:t>
      </w:r>
      <w:r>
        <w:rPr>
          <w:lang w:val="en"/>
        </w:rPr>
        <w:t>with an immediate commencement.</w:t>
      </w:r>
    </w:p>
    <w:p w14:paraId="28F392E5" w14:textId="1FC978F8" w:rsidR="004668B7" w:rsidRDefault="004668B7" w:rsidP="009F6A9C">
      <w:pPr>
        <w:rPr>
          <w:lang w:val="en"/>
        </w:rPr>
      </w:pPr>
      <w:r>
        <w:rPr>
          <w:lang w:val="en"/>
        </w:rPr>
        <w:t>The Coalition Government has moved swiftly</w:t>
      </w:r>
      <w:r w:rsidR="00560A87">
        <w:rPr>
          <w:lang w:val="en"/>
        </w:rPr>
        <w:t>,</w:t>
      </w:r>
      <w:r>
        <w:rPr>
          <w:lang w:val="en"/>
        </w:rPr>
        <w:t xml:space="preserve"> issuing </w:t>
      </w:r>
      <w:r w:rsidRPr="00560A87">
        <w:rPr>
          <w:noProof/>
          <w:lang w:val="en"/>
        </w:rPr>
        <w:t>draft terms</w:t>
      </w:r>
      <w:r>
        <w:rPr>
          <w:lang w:val="en"/>
        </w:rPr>
        <w:t xml:space="preserve"> of reference for public comment as well as seeking </w:t>
      </w:r>
      <w:r w:rsidR="00560A87">
        <w:rPr>
          <w:lang w:val="en"/>
        </w:rPr>
        <w:t xml:space="preserve">further input, </w:t>
      </w:r>
      <w:r>
        <w:rPr>
          <w:lang w:val="en"/>
        </w:rPr>
        <w:t>via the Department of Social Services</w:t>
      </w:r>
      <w:r w:rsidR="00560A87">
        <w:rPr>
          <w:lang w:val="en"/>
        </w:rPr>
        <w:t>,</w:t>
      </w:r>
      <w:r>
        <w:rPr>
          <w:lang w:val="en"/>
        </w:rPr>
        <w:t xml:space="preserve"> from recognised Disability Representative Organisations (DRO’s) and other key advocacy organisations across Australia.</w:t>
      </w:r>
    </w:p>
    <w:p w14:paraId="73DA569E" w14:textId="5A83FDD9" w:rsidR="004668B7" w:rsidRDefault="004668B7" w:rsidP="009F6A9C">
      <w:pPr>
        <w:rPr>
          <w:lang w:val="en"/>
        </w:rPr>
      </w:pPr>
      <w:r>
        <w:rPr>
          <w:lang w:val="en"/>
        </w:rPr>
        <w:t xml:space="preserve">AFDO and its members have reviewed the Terms of Reference and wish to provide input into these as well as identifying some areas which we believe need to be addressed and further explored to ensure that the </w:t>
      </w:r>
      <w:r w:rsidR="009F77C4">
        <w:rPr>
          <w:lang w:val="en"/>
        </w:rPr>
        <w:t>Royal Commission</w:t>
      </w:r>
      <w:r>
        <w:rPr>
          <w:lang w:val="en"/>
        </w:rPr>
        <w:t xml:space="preserve"> is comprehensive and </w:t>
      </w:r>
      <w:r w:rsidR="00560A87">
        <w:rPr>
          <w:lang w:val="en"/>
        </w:rPr>
        <w:t xml:space="preserve">will allow </w:t>
      </w:r>
      <w:r>
        <w:rPr>
          <w:lang w:val="en"/>
        </w:rPr>
        <w:t xml:space="preserve"> the full participation in the </w:t>
      </w:r>
      <w:r w:rsidR="009F77C4">
        <w:rPr>
          <w:lang w:val="en"/>
        </w:rPr>
        <w:t>Royal Commission</w:t>
      </w:r>
      <w:r>
        <w:rPr>
          <w:lang w:val="en"/>
        </w:rPr>
        <w:t xml:space="preserve"> by people with disability </w:t>
      </w:r>
      <w:r w:rsidR="00560A87">
        <w:rPr>
          <w:lang w:val="en"/>
        </w:rPr>
        <w:t>from</w:t>
      </w:r>
      <w:r>
        <w:rPr>
          <w:lang w:val="en"/>
        </w:rPr>
        <w:t xml:space="preserve"> all of Australia.  </w:t>
      </w:r>
    </w:p>
    <w:p w14:paraId="165BE203" w14:textId="62C8909D" w:rsidR="001068A9" w:rsidRPr="00D1259C" w:rsidRDefault="00560A87" w:rsidP="001068A9">
      <w:pPr>
        <w:pStyle w:val="Heading2"/>
      </w:pPr>
      <w:bookmarkStart w:id="8" w:name="_Toc4593809"/>
      <w:r>
        <w:t>Draft Terms of Reference (TOR)</w:t>
      </w:r>
      <w:bookmarkEnd w:id="8"/>
      <w:r>
        <w:t xml:space="preserve"> </w:t>
      </w:r>
    </w:p>
    <w:p w14:paraId="2CCFCDDC" w14:textId="30AB2CC3" w:rsidR="00560A87" w:rsidRDefault="00560A87" w:rsidP="00560A87">
      <w:pPr>
        <w:rPr>
          <w:lang w:val="en"/>
        </w:rPr>
      </w:pPr>
      <w:r>
        <w:rPr>
          <w:lang w:val="en"/>
        </w:rPr>
        <w:t>AFDO and our members were pleased to see reflected in the Draft TOR a number of components which we see as essential in ensuring a thorough and comprehensive Royal Commission and which we fully support;</w:t>
      </w:r>
    </w:p>
    <w:p w14:paraId="314CBDD9" w14:textId="447A9076" w:rsidR="00560A87" w:rsidRDefault="009F77C4" w:rsidP="00D01E56">
      <w:pPr>
        <w:pStyle w:val="ListParagraph"/>
        <w:numPr>
          <w:ilvl w:val="0"/>
          <w:numId w:val="10"/>
        </w:numPr>
      </w:pPr>
      <w:r>
        <w:t xml:space="preserve">Authority of the </w:t>
      </w:r>
      <w:r>
        <w:rPr>
          <w:lang w:val="en"/>
        </w:rPr>
        <w:t>Royal Commission</w:t>
      </w:r>
      <w:r w:rsidR="00560A87">
        <w:t xml:space="preserve"> to examine all </w:t>
      </w:r>
      <w:r w:rsidR="00560A87" w:rsidRPr="00560A87">
        <w:t>setting</w:t>
      </w:r>
      <w:r w:rsidR="00560A87">
        <w:t>s</w:t>
      </w:r>
      <w:r w:rsidR="00560A87" w:rsidRPr="00560A87">
        <w:t xml:space="preserve"> or context</w:t>
      </w:r>
      <w:r w:rsidR="00560A87">
        <w:t>s across Australia</w:t>
      </w:r>
    </w:p>
    <w:p w14:paraId="1FCF3F78" w14:textId="01367986" w:rsidR="00560A87" w:rsidRDefault="00560A87" w:rsidP="00560A87">
      <w:pPr>
        <w:pStyle w:val="ListParagraph"/>
      </w:pPr>
      <w:r>
        <w:t xml:space="preserve"> </w:t>
      </w:r>
    </w:p>
    <w:p w14:paraId="6CC29E0E" w14:textId="3F683920" w:rsidR="00560A87" w:rsidRDefault="00560A87" w:rsidP="00D01E56">
      <w:pPr>
        <w:pStyle w:val="ListParagraph"/>
        <w:numPr>
          <w:ilvl w:val="0"/>
          <w:numId w:val="10"/>
        </w:numPr>
      </w:pPr>
      <w:r>
        <w:t xml:space="preserve">Maintaining the broadest context and avoidance of prescriptive definitions of settings or contexts </w:t>
      </w:r>
    </w:p>
    <w:p w14:paraId="7648CEE9" w14:textId="77777777" w:rsidR="00560A87" w:rsidRDefault="00560A87" w:rsidP="00560A87">
      <w:pPr>
        <w:pStyle w:val="ListParagraph"/>
      </w:pPr>
    </w:p>
    <w:p w14:paraId="02EA6C49" w14:textId="004576DB" w:rsidR="00560A87" w:rsidRPr="00560A87" w:rsidRDefault="00560A87" w:rsidP="009A0DE2">
      <w:pPr>
        <w:pStyle w:val="ListParagraph"/>
        <w:numPr>
          <w:ilvl w:val="0"/>
          <w:numId w:val="10"/>
        </w:numPr>
      </w:pPr>
      <w:r>
        <w:t xml:space="preserve">Referencing of the CRPD, the </w:t>
      </w:r>
      <w:r w:rsidRPr="00560A87">
        <w:t xml:space="preserve">United Nations </w:t>
      </w:r>
      <w:r w:rsidRPr="00560A87">
        <w:rPr>
          <w:iCs/>
        </w:rPr>
        <w:t>Convention on the Rights of Persons</w:t>
      </w:r>
      <w:r>
        <w:rPr>
          <w:iCs/>
        </w:rPr>
        <w:t xml:space="preserve"> </w:t>
      </w:r>
      <w:r w:rsidRPr="00560A87">
        <w:rPr>
          <w:iCs/>
          <w:lang w:val="en-US"/>
        </w:rPr>
        <w:t>with Disabilities</w:t>
      </w:r>
    </w:p>
    <w:p w14:paraId="41B5C7B5" w14:textId="77777777" w:rsidR="00560A87" w:rsidRDefault="00560A87" w:rsidP="00560A87">
      <w:pPr>
        <w:pStyle w:val="ListParagraph"/>
      </w:pPr>
    </w:p>
    <w:p w14:paraId="03ED4D29" w14:textId="54A1B427" w:rsidR="00560A87" w:rsidRDefault="00560A87" w:rsidP="009A0DE2">
      <w:pPr>
        <w:pStyle w:val="ListParagraph"/>
        <w:numPr>
          <w:ilvl w:val="0"/>
          <w:numId w:val="10"/>
        </w:numPr>
      </w:pPr>
      <w:r>
        <w:t>Ensuring that people with disability will have a</w:t>
      </w:r>
      <w:r w:rsidR="00B81411">
        <w:t xml:space="preserve">ll their </w:t>
      </w:r>
      <w:r>
        <w:t xml:space="preserve">accessibility </w:t>
      </w:r>
      <w:r w:rsidR="00B81411">
        <w:t>requirements</w:t>
      </w:r>
      <w:r>
        <w:t xml:space="preserve"> </w:t>
      </w:r>
      <w:r w:rsidRPr="00560A87">
        <w:rPr>
          <w:noProof/>
        </w:rPr>
        <w:t>met</w:t>
      </w:r>
      <w:r>
        <w:t xml:space="preserve"> in order to </w:t>
      </w:r>
      <w:r w:rsidR="00B81411">
        <w:t>that all are able to participate</w:t>
      </w:r>
      <w:r w:rsidR="009F77C4">
        <w:t xml:space="preserve"> in </w:t>
      </w:r>
      <w:r w:rsidR="009F77C4" w:rsidRPr="00826320">
        <w:rPr>
          <w:noProof/>
        </w:rPr>
        <w:t>and</w:t>
      </w:r>
      <w:r w:rsidR="009F77C4">
        <w:t xml:space="preserve"> engage with the </w:t>
      </w:r>
      <w:r w:rsidR="009F77C4">
        <w:rPr>
          <w:lang w:val="en"/>
        </w:rPr>
        <w:t>Royal Commission</w:t>
      </w:r>
      <w:r w:rsidR="00B81411">
        <w:rPr>
          <w:lang w:val="en"/>
        </w:rPr>
        <w:t>’s processes.</w:t>
      </w:r>
    </w:p>
    <w:p w14:paraId="5C2CC352" w14:textId="77777777" w:rsidR="00560A87" w:rsidRDefault="00560A87" w:rsidP="00560A87">
      <w:pPr>
        <w:pStyle w:val="ListParagraph"/>
      </w:pPr>
    </w:p>
    <w:p w14:paraId="057B099F" w14:textId="2904C958" w:rsidR="00560A87" w:rsidRPr="00560A87" w:rsidRDefault="00560A87" w:rsidP="009A0DE2">
      <w:pPr>
        <w:pStyle w:val="ListParagraph"/>
        <w:numPr>
          <w:ilvl w:val="0"/>
          <w:numId w:val="10"/>
        </w:numPr>
      </w:pPr>
      <w:r w:rsidRPr="00826320">
        <w:rPr>
          <w:noProof/>
        </w:rPr>
        <w:t>Ensur</w:t>
      </w:r>
      <w:r w:rsidR="00826320" w:rsidRPr="00826320">
        <w:rPr>
          <w:noProof/>
        </w:rPr>
        <w:t>e</w:t>
      </w:r>
      <w:r w:rsidR="009F77C4">
        <w:t xml:space="preserve"> that </w:t>
      </w:r>
      <w:r w:rsidR="00B81411">
        <w:t xml:space="preserve">a frequent and regular </w:t>
      </w:r>
      <w:r w:rsidR="009F77C4">
        <w:t>communications</w:t>
      </w:r>
      <w:r w:rsidR="00B81411">
        <w:t xml:space="preserve"> schedule is established for </w:t>
      </w:r>
      <w:r w:rsidR="009F77C4">
        <w:t xml:space="preserve">the </w:t>
      </w:r>
      <w:r w:rsidR="009F77C4">
        <w:rPr>
          <w:lang w:val="en"/>
        </w:rPr>
        <w:t>Royal Commission</w:t>
      </w:r>
      <w:r>
        <w:t xml:space="preserve"> </w:t>
      </w:r>
      <w:r w:rsidR="00B81411">
        <w:t xml:space="preserve">and that all publications are </w:t>
      </w:r>
      <w:r>
        <w:t xml:space="preserve">issued in </w:t>
      </w:r>
      <w:r w:rsidR="00B81411">
        <w:t xml:space="preserve">a wide </w:t>
      </w:r>
      <w:r w:rsidR="00B81411" w:rsidRPr="00826320">
        <w:rPr>
          <w:noProof/>
        </w:rPr>
        <w:t>range</w:t>
      </w:r>
      <w:r w:rsidR="00826320">
        <w:rPr>
          <w:noProof/>
        </w:rPr>
        <w:t xml:space="preserve"> of</w:t>
      </w:r>
      <w:r w:rsidR="00B81411">
        <w:t xml:space="preserve"> </w:t>
      </w:r>
      <w:r>
        <w:t>accessible formats.</w:t>
      </w:r>
    </w:p>
    <w:p w14:paraId="65CADDFE" w14:textId="77777777" w:rsidR="001068A9" w:rsidRDefault="001068A9" w:rsidP="001068A9">
      <w:pPr>
        <w:rPr>
          <w:lang w:val="en"/>
        </w:rPr>
      </w:pPr>
    </w:p>
    <w:p w14:paraId="36255DE3" w14:textId="77777777" w:rsidR="001068A9" w:rsidRDefault="001068A9">
      <w:pPr>
        <w:spacing w:after="0" w:line="240" w:lineRule="auto"/>
        <w:rPr>
          <w:lang w:val="en"/>
        </w:rPr>
      </w:pPr>
    </w:p>
    <w:p w14:paraId="63CE607C" w14:textId="267E290F" w:rsidR="001068A9" w:rsidRDefault="001068A9">
      <w:pPr>
        <w:spacing w:after="0" w:line="240" w:lineRule="auto"/>
        <w:rPr>
          <w:lang w:val="en"/>
        </w:rPr>
      </w:pPr>
      <w:r>
        <w:rPr>
          <w:lang w:val="en"/>
        </w:rPr>
        <w:br w:type="page"/>
      </w:r>
    </w:p>
    <w:p w14:paraId="50E68498" w14:textId="24491AD5" w:rsidR="001068A9" w:rsidRPr="00D1259C" w:rsidRDefault="00560A87" w:rsidP="001068A9">
      <w:pPr>
        <w:pStyle w:val="Heading2"/>
      </w:pPr>
      <w:bookmarkStart w:id="9" w:name="_Toc4593810"/>
      <w:r>
        <w:t>Additional requirements</w:t>
      </w:r>
      <w:bookmarkEnd w:id="9"/>
    </w:p>
    <w:p w14:paraId="1B6E2D28" w14:textId="6CC70A7B" w:rsidR="00560A87" w:rsidRDefault="00560A87" w:rsidP="00560A87">
      <w:pPr>
        <w:pStyle w:val="Heading3"/>
      </w:pPr>
      <w:bookmarkStart w:id="10" w:name="_Toc4593811"/>
      <w:r>
        <w:t>Terms of Reference:</w:t>
      </w:r>
      <w:bookmarkEnd w:id="10"/>
    </w:p>
    <w:p w14:paraId="1374B045" w14:textId="76ED752B" w:rsidR="00560A87" w:rsidRDefault="00560A87" w:rsidP="00560A87">
      <w:pPr>
        <w:rPr>
          <w:lang w:val="en-AU"/>
        </w:rPr>
      </w:pPr>
      <w:r>
        <w:rPr>
          <w:lang w:val="en-AU"/>
        </w:rPr>
        <w:t>It is not the place of AFDO or our members to provide a rewrite of the Terms of Reference</w:t>
      </w:r>
      <w:r>
        <w:rPr>
          <w:noProof/>
          <w:lang w:val="en-AU"/>
        </w:rPr>
        <w:t>;</w:t>
      </w:r>
      <w:r w:rsidRPr="00560A87">
        <w:rPr>
          <w:noProof/>
          <w:lang w:val="en-AU"/>
        </w:rPr>
        <w:t xml:space="preserve"> </w:t>
      </w:r>
      <w:r w:rsidR="00735AC4">
        <w:rPr>
          <w:noProof/>
          <w:lang w:val="en-AU"/>
        </w:rPr>
        <w:t>W</w:t>
      </w:r>
      <w:r w:rsidRPr="00560A87">
        <w:rPr>
          <w:noProof/>
          <w:lang w:val="en-AU"/>
        </w:rPr>
        <w:t>e</w:t>
      </w:r>
      <w:r>
        <w:rPr>
          <w:lang w:val="en-AU"/>
        </w:rPr>
        <w:t xml:space="preserve"> see this being appropriately handled and the responsibility of the Attorney General’s Department and others responsible at Government </w:t>
      </w:r>
      <w:r w:rsidR="003A6C2F">
        <w:rPr>
          <w:lang w:val="en-AU"/>
        </w:rPr>
        <w:t>who can</w:t>
      </w:r>
      <w:r>
        <w:rPr>
          <w:lang w:val="en-AU"/>
        </w:rPr>
        <w:t xml:space="preserve"> ensur</w:t>
      </w:r>
      <w:r w:rsidR="00A73415">
        <w:rPr>
          <w:lang w:val="en-AU"/>
        </w:rPr>
        <w:t xml:space="preserve">e </w:t>
      </w:r>
      <w:r>
        <w:rPr>
          <w:lang w:val="en-AU"/>
        </w:rPr>
        <w:t xml:space="preserve">conformity </w:t>
      </w:r>
      <w:r w:rsidR="00A73415">
        <w:rPr>
          <w:lang w:val="en-AU"/>
        </w:rPr>
        <w:t xml:space="preserve">with </w:t>
      </w:r>
      <w:r>
        <w:rPr>
          <w:lang w:val="en-AU"/>
        </w:rPr>
        <w:t>Australian Law and legislative requirements.</w:t>
      </w:r>
    </w:p>
    <w:p w14:paraId="486CF4D8" w14:textId="48359791" w:rsidR="00560A87" w:rsidRDefault="00560A87" w:rsidP="00560A87">
      <w:pPr>
        <w:rPr>
          <w:lang w:val="en-AU"/>
        </w:rPr>
      </w:pPr>
      <w:r>
        <w:rPr>
          <w:lang w:val="en-AU"/>
        </w:rPr>
        <w:t xml:space="preserve">Following our review of the Draft </w:t>
      </w:r>
      <w:r w:rsidRPr="00560A87">
        <w:rPr>
          <w:noProof/>
          <w:lang w:val="en-AU"/>
        </w:rPr>
        <w:t>TOR</w:t>
      </w:r>
      <w:r>
        <w:rPr>
          <w:noProof/>
          <w:lang w:val="en-AU"/>
        </w:rPr>
        <w:t>,</w:t>
      </w:r>
      <w:r>
        <w:rPr>
          <w:lang w:val="en-AU"/>
        </w:rPr>
        <w:t xml:space="preserve"> we believe there are a number of areas which </w:t>
      </w:r>
      <w:r w:rsidR="00A73415">
        <w:rPr>
          <w:lang w:val="en-AU"/>
        </w:rPr>
        <w:t>would benefit from</w:t>
      </w:r>
      <w:r>
        <w:rPr>
          <w:lang w:val="en-AU"/>
        </w:rPr>
        <w:t xml:space="preserve"> amendment and/or</w:t>
      </w:r>
      <w:r w:rsidR="009F77C4">
        <w:rPr>
          <w:lang w:val="en-AU"/>
        </w:rPr>
        <w:t xml:space="preserve"> inclusion to ensure that the </w:t>
      </w:r>
      <w:r w:rsidR="009F77C4">
        <w:rPr>
          <w:lang w:val="en"/>
        </w:rPr>
        <w:t>Royal Commission</w:t>
      </w:r>
      <w:r>
        <w:rPr>
          <w:lang w:val="en-AU"/>
        </w:rPr>
        <w:t xml:space="preserve"> is comprehensive and will meet the outcomes, hopes and wishes of people with disability </w:t>
      </w:r>
      <w:r w:rsidR="00A73415">
        <w:rPr>
          <w:lang w:val="en-AU"/>
        </w:rPr>
        <w:t>and</w:t>
      </w:r>
      <w:r>
        <w:rPr>
          <w:lang w:val="en-AU"/>
        </w:rPr>
        <w:t xml:space="preserve"> those who support them. </w:t>
      </w:r>
    </w:p>
    <w:p w14:paraId="3F59C03C" w14:textId="020C2597" w:rsidR="00560A87" w:rsidRDefault="00560A87" w:rsidP="00560A87">
      <w:pPr>
        <w:rPr>
          <w:lang w:val="en-AU"/>
        </w:rPr>
      </w:pPr>
      <w:r>
        <w:rPr>
          <w:lang w:val="en-AU"/>
        </w:rPr>
        <w:t xml:space="preserve">The Terms of Reference for the recent Royal Commission into Institutional Response to Child Sexual Abuse </w:t>
      </w:r>
      <w:r w:rsidR="00A73415">
        <w:rPr>
          <w:lang w:val="en-AU"/>
        </w:rPr>
        <w:t xml:space="preserve">can serve as an appropriate model </w:t>
      </w:r>
      <w:r w:rsidR="00A34F05">
        <w:rPr>
          <w:lang w:val="en-AU"/>
        </w:rPr>
        <w:t xml:space="preserve">for the changes we would like to see. They provide for </w:t>
      </w:r>
      <w:r>
        <w:rPr>
          <w:lang w:val="en-AU"/>
        </w:rPr>
        <w:t>greater outcomes, potential justice and appropriate redress than the current Draft TOR and should be utilised on a comparison basis.</w:t>
      </w:r>
    </w:p>
    <w:p w14:paraId="604F630C" w14:textId="2FA94DBE" w:rsidR="00560A87" w:rsidRDefault="00A34F05" w:rsidP="00560A87">
      <w:pPr>
        <w:rPr>
          <w:lang w:val="en-AU"/>
        </w:rPr>
      </w:pPr>
      <w:r>
        <w:rPr>
          <w:lang w:val="en-AU"/>
        </w:rPr>
        <w:t>We believe t</w:t>
      </w:r>
      <w:r w:rsidR="00560A87">
        <w:rPr>
          <w:lang w:val="en-AU"/>
        </w:rPr>
        <w:t xml:space="preserve">he Royal Commission </w:t>
      </w:r>
      <w:r>
        <w:rPr>
          <w:lang w:val="en-AU"/>
        </w:rPr>
        <w:t xml:space="preserve">into Violence, Abuse, Neglect and Exploitation of People with Disability </w:t>
      </w:r>
      <w:r w:rsidR="00560A87">
        <w:rPr>
          <w:lang w:val="en-AU"/>
        </w:rPr>
        <w:t>Terms of Reference must contain the following</w:t>
      </w:r>
      <w:r w:rsidR="0037138C">
        <w:rPr>
          <w:lang w:val="en-AU"/>
        </w:rPr>
        <w:t>:</w:t>
      </w:r>
    </w:p>
    <w:p w14:paraId="121E63DA" w14:textId="75DBA935" w:rsidR="00560A87" w:rsidRPr="00560A87" w:rsidRDefault="00A34F05" w:rsidP="009F77C4">
      <w:pPr>
        <w:numPr>
          <w:ilvl w:val="1"/>
          <w:numId w:val="11"/>
        </w:numPr>
        <w:ind w:left="1134" w:hanging="425"/>
        <w:rPr>
          <w:lang w:val="en-AU"/>
        </w:rPr>
      </w:pPr>
      <w:r>
        <w:rPr>
          <w:lang w:val="en-AU"/>
        </w:rPr>
        <w:t>C</w:t>
      </w:r>
      <w:r w:rsidR="00560A87">
        <w:rPr>
          <w:lang w:val="en-AU"/>
        </w:rPr>
        <w:t xml:space="preserve">over </w:t>
      </w:r>
      <w:r w:rsidR="00560A87" w:rsidRPr="00560A87">
        <w:rPr>
          <w:lang w:val="en-AU"/>
        </w:rPr>
        <w:t xml:space="preserve">all settings </w:t>
      </w:r>
      <w:r w:rsidR="00560A87">
        <w:rPr>
          <w:lang w:val="en-AU"/>
        </w:rPr>
        <w:t xml:space="preserve">and contexts </w:t>
      </w:r>
      <w:r w:rsidR="00560A87" w:rsidRPr="00560A87">
        <w:rPr>
          <w:lang w:val="en-AU"/>
        </w:rPr>
        <w:t>across Australia</w:t>
      </w:r>
      <w:r w:rsidR="00560A87">
        <w:rPr>
          <w:lang w:val="en-AU"/>
        </w:rPr>
        <w:t xml:space="preserve"> </w:t>
      </w:r>
      <w:r>
        <w:rPr>
          <w:lang w:val="en-AU"/>
        </w:rPr>
        <w:t xml:space="preserve">in which mistreatment of people with disability has occurred </w:t>
      </w:r>
      <w:r w:rsidR="00560A87">
        <w:rPr>
          <w:lang w:val="en-AU"/>
        </w:rPr>
        <w:t>with no restrictions</w:t>
      </w:r>
      <w:r>
        <w:rPr>
          <w:lang w:val="en-AU"/>
        </w:rPr>
        <w:t xml:space="preserve"> or exclusions</w:t>
      </w:r>
      <w:r w:rsidR="0037138C">
        <w:rPr>
          <w:lang w:val="en-AU"/>
        </w:rPr>
        <w:t>;</w:t>
      </w:r>
    </w:p>
    <w:p w14:paraId="52EBA5C0" w14:textId="691F00B4" w:rsidR="00826320" w:rsidRDefault="00560A87" w:rsidP="009F77C4">
      <w:pPr>
        <w:numPr>
          <w:ilvl w:val="1"/>
          <w:numId w:val="11"/>
        </w:numPr>
        <w:ind w:left="1134" w:hanging="425"/>
        <w:rPr>
          <w:lang w:val="en-AU"/>
        </w:rPr>
      </w:pPr>
      <w:r>
        <w:rPr>
          <w:lang w:val="en-AU"/>
        </w:rPr>
        <w:t xml:space="preserve">A </w:t>
      </w:r>
      <w:r w:rsidRPr="00560A87">
        <w:rPr>
          <w:lang w:val="en-AU"/>
        </w:rPr>
        <w:t xml:space="preserve">minimum of three Commissioners, one or more </w:t>
      </w:r>
      <w:r w:rsidR="00A34F05">
        <w:rPr>
          <w:lang w:val="en-AU"/>
        </w:rPr>
        <w:t>of which to be</w:t>
      </w:r>
      <w:r w:rsidRPr="00560A87">
        <w:rPr>
          <w:lang w:val="en-AU"/>
        </w:rPr>
        <w:t xml:space="preserve"> </w:t>
      </w:r>
      <w:r w:rsidR="00735AC4">
        <w:rPr>
          <w:lang w:val="en-AU"/>
        </w:rPr>
        <w:t xml:space="preserve">a </w:t>
      </w:r>
      <w:r w:rsidRPr="00560A87">
        <w:rPr>
          <w:lang w:val="en-AU"/>
        </w:rPr>
        <w:t xml:space="preserve">person with </w:t>
      </w:r>
      <w:r w:rsidRPr="00826320">
        <w:rPr>
          <w:noProof/>
          <w:lang w:val="en-AU"/>
        </w:rPr>
        <w:t>disability</w:t>
      </w:r>
      <w:r>
        <w:rPr>
          <w:lang w:val="en-AU"/>
        </w:rPr>
        <w:t xml:space="preserve">, beyond the minimum, there should be </w:t>
      </w:r>
      <w:r w:rsidR="00826320">
        <w:rPr>
          <w:lang w:val="en-AU"/>
        </w:rPr>
        <w:t xml:space="preserve">the </w:t>
      </w:r>
      <w:r w:rsidRPr="00826320">
        <w:rPr>
          <w:noProof/>
          <w:lang w:val="en-AU"/>
        </w:rPr>
        <w:t>further</w:t>
      </w:r>
      <w:r>
        <w:rPr>
          <w:lang w:val="en-AU"/>
        </w:rPr>
        <w:t xml:space="preserve"> </w:t>
      </w:r>
      <w:r w:rsidR="00A34F05">
        <w:rPr>
          <w:lang w:val="en-AU"/>
        </w:rPr>
        <w:t xml:space="preserve">appointment of </w:t>
      </w:r>
      <w:r>
        <w:rPr>
          <w:lang w:val="en-AU"/>
        </w:rPr>
        <w:t>people with disability</w:t>
      </w:r>
      <w:r w:rsidR="00A34F05">
        <w:rPr>
          <w:lang w:val="en-AU"/>
        </w:rPr>
        <w:t xml:space="preserve"> into the role</w:t>
      </w:r>
      <w:r w:rsidR="00826320">
        <w:rPr>
          <w:lang w:val="en-AU"/>
        </w:rPr>
        <w:t xml:space="preserve">s; </w:t>
      </w:r>
    </w:p>
    <w:p w14:paraId="54365399" w14:textId="4F7281E1" w:rsidR="00826320" w:rsidRDefault="00826320" w:rsidP="009F77C4">
      <w:pPr>
        <w:numPr>
          <w:ilvl w:val="1"/>
          <w:numId w:val="11"/>
        </w:numPr>
        <w:ind w:left="1134" w:hanging="425"/>
        <w:rPr>
          <w:lang w:val="en-AU"/>
        </w:rPr>
      </w:pPr>
      <w:r>
        <w:rPr>
          <w:lang w:val="en-AU"/>
        </w:rPr>
        <w:t>Commissioners s</w:t>
      </w:r>
      <w:r w:rsidRPr="00826320">
        <w:rPr>
          <w:lang w:val="en-AU"/>
        </w:rPr>
        <w:t>election must ensure an appropriate gender mix</w:t>
      </w:r>
      <w:r>
        <w:rPr>
          <w:lang w:val="en-AU"/>
        </w:rPr>
        <w:t>;</w:t>
      </w:r>
      <w:r w:rsidRPr="00826320">
        <w:rPr>
          <w:lang w:val="en-AU"/>
        </w:rPr>
        <w:t xml:space="preserve"> </w:t>
      </w:r>
    </w:p>
    <w:p w14:paraId="3AFBCB01" w14:textId="4331F4DD" w:rsidR="00560A87" w:rsidRPr="00560A87" w:rsidRDefault="00826320" w:rsidP="009F77C4">
      <w:pPr>
        <w:numPr>
          <w:ilvl w:val="1"/>
          <w:numId w:val="11"/>
        </w:numPr>
        <w:ind w:left="1134" w:hanging="425"/>
        <w:rPr>
          <w:lang w:val="en-AU"/>
        </w:rPr>
      </w:pPr>
      <w:r w:rsidRPr="00826320">
        <w:rPr>
          <w:noProof/>
          <w:lang w:val="en-AU"/>
        </w:rPr>
        <w:t>Commissioners m</w:t>
      </w:r>
      <w:r>
        <w:rPr>
          <w:noProof/>
          <w:lang w:val="en-AU"/>
        </w:rPr>
        <w:t xml:space="preserve">ust be selected </w:t>
      </w:r>
      <w:r w:rsidRPr="00826320">
        <w:rPr>
          <w:noProof/>
          <w:lang w:val="en-AU"/>
        </w:rPr>
        <w:t>from across Australia to ensure a depth of understanding of differing jurisdictions</w:t>
      </w:r>
      <w:r w:rsidR="0037138C">
        <w:rPr>
          <w:lang w:val="en-AU"/>
        </w:rPr>
        <w:t>;</w:t>
      </w:r>
    </w:p>
    <w:p w14:paraId="68A7B802" w14:textId="5BBA81C9" w:rsidR="00560A87" w:rsidRPr="00560A87" w:rsidRDefault="00560A87" w:rsidP="009F77C4">
      <w:pPr>
        <w:numPr>
          <w:ilvl w:val="1"/>
          <w:numId w:val="11"/>
        </w:numPr>
        <w:ind w:left="1134" w:hanging="425"/>
        <w:rPr>
          <w:lang w:val="en-AU"/>
        </w:rPr>
      </w:pPr>
      <w:r>
        <w:rPr>
          <w:lang w:val="en-AU"/>
        </w:rPr>
        <w:t>F</w:t>
      </w:r>
      <w:r w:rsidRPr="00560A87">
        <w:rPr>
          <w:lang w:val="en-AU"/>
        </w:rPr>
        <w:t>ull investigatory powers</w:t>
      </w:r>
      <w:r>
        <w:rPr>
          <w:lang w:val="en-AU"/>
        </w:rPr>
        <w:t xml:space="preserve"> with no restrictions</w:t>
      </w:r>
      <w:r w:rsidR="0037138C">
        <w:rPr>
          <w:lang w:val="en-AU"/>
        </w:rPr>
        <w:t>;</w:t>
      </w:r>
    </w:p>
    <w:p w14:paraId="054B0BFB" w14:textId="597A0EA6" w:rsidR="00560A87" w:rsidRPr="00560A87" w:rsidRDefault="00560A87" w:rsidP="009F77C4">
      <w:pPr>
        <w:numPr>
          <w:ilvl w:val="1"/>
          <w:numId w:val="11"/>
        </w:numPr>
        <w:ind w:left="1134" w:hanging="425"/>
        <w:rPr>
          <w:lang w:val="en-AU"/>
        </w:rPr>
      </w:pPr>
      <w:r w:rsidRPr="00560A87">
        <w:rPr>
          <w:lang w:val="en-AU"/>
        </w:rPr>
        <w:t>Provide</w:t>
      </w:r>
      <w:r>
        <w:rPr>
          <w:lang w:val="en-AU"/>
        </w:rPr>
        <w:t xml:space="preserve"> for </w:t>
      </w:r>
      <w:r w:rsidRPr="00560A87">
        <w:rPr>
          <w:lang w:val="en-AU"/>
        </w:rPr>
        <w:t xml:space="preserve">prosecution recommendations for </w:t>
      </w:r>
      <w:r w:rsidR="007350A2">
        <w:rPr>
          <w:lang w:val="en-AU"/>
        </w:rPr>
        <w:t xml:space="preserve">identified </w:t>
      </w:r>
      <w:r w:rsidRPr="00560A87">
        <w:rPr>
          <w:lang w:val="en-AU"/>
        </w:rPr>
        <w:t>human rights and</w:t>
      </w:r>
      <w:r w:rsidR="0091732F">
        <w:rPr>
          <w:lang w:val="en-AU"/>
        </w:rPr>
        <w:t xml:space="preserve"> criminal law</w:t>
      </w:r>
      <w:r w:rsidRPr="00560A87">
        <w:rPr>
          <w:lang w:val="en-AU"/>
        </w:rPr>
        <w:t>/or legal breaches</w:t>
      </w:r>
      <w:r w:rsidR="0037138C">
        <w:rPr>
          <w:lang w:val="en-AU"/>
        </w:rPr>
        <w:t>;</w:t>
      </w:r>
    </w:p>
    <w:p w14:paraId="2B175B33" w14:textId="7D04AE3C" w:rsidR="00560A87" w:rsidRPr="00560A87" w:rsidRDefault="00560A87" w:rsidP="009F77C4">
      <w:pPr>
        <w:numPr>
          <w:ilvl w:val="1"/>
          <w:numId w:val="11"/>
        </w:numPr>
        <w:ind w:left="1134" w:hanging="425"/>
        <w:rPr>
          <w:lang w:val="en-AU"/>
        </w:rPr>
      </w:pPr>
      <w:r w:rsidRPr="00560A87">
        <w:rPr>
          <w:lang w:val="en-AU"/>
        </w:rPr>
        <w:t xml:space="preserve">Provide a redress scheme for people with disability who have </w:t>
      </w:r>
      <w:r w:rsidR="0091732F">
        <w:rPr>
          <w:lang w:val="en-AU"/>
        </w:rPr>
        <w:t>experienced violence, abuse, neglect and/or exploitation</w:t>
      </w:r>
      <w:r w:rsidR="00735AC4">
        <w:rPr>
          <w:lang w:val="en-AU"/>
        </w:rPr>
        <w:t xml:space="preserve"> and </w:t>
      </w:r>
      <w:r w:rsidRPr="00560A87">
        <w:rPr>
          <w:lang w:val="en-AU"/>
        </w:rPr>
        <w:t>had their human and/or legal rights breached</w:t>
      </w:r>
      <w:r w:rsidR="00735AC4">
        <w:rPr>
          <w:lang w:val="en-AU"/>
        </w:rPr>
        <w:t>;</w:t>
      </w:r>
      <w:r w:rsidRPr="00560A87">
        <w:rPr>
          <w:lang w:val="en-AU"/>
        </w:rPr>
        <w:t xml:space="preserve"> </w:t>
      </w:r>
    </w:p>
    <w:p w14:paraId="3A128427" w14:textId="514FD9D0" w:rsidR="00560A87" w:rsidRDefault="00560A87" w:rsidP="009F77C4">
      <w:pPr>
        <w:numPr>
          <w:ilvl w:val="1"/>
          <w:numId w:val="11"/>
        </w:numPr>
        <w:ind w:left="1134" w:hanging="425"/>
        <w:rPr>
          <w:lang w:val="en-AU"/>
        </w:rPr>
      </w:pPr>
      <w:r w:rsidRPr="00560A87">
        <w:rPr>
          <w:lang w:val="en-AU"/>
        </w:rPr>
        <w:t>Provide recommendations from its investigations to remedy, rectify, revise and remove violence, abuse, exploitation and neglect of people with disability from any settings</w:t>
      </w:r>
      <w:r>
        <w:rPr>
          <w:lang w:val="en-AU"/>
        </w:rPr>
        <w:t xml:space="preserve"> or contexts</w:t>
      </w:r>
      <w:r w:rsidR="0037138C">
        <w:rPr>
          <w:lang w:val="en-AU"/>
        </w:rPr>
        <w:t>;</w:t>
      </w:r>
    </w:p>
    <w:p w14:paraId="736490B9" w14:textId="7F63EC75" w:rsidR="00560A87" w:rsidRPr="00560A87" w:rsidRDefault="00560A87" w:rsidP="009F77C4">
      <w:pPr>
        <w:numPr>
          <w:ilvl w:val="1"/>
          <w:numId w:val="11"/>
        </w:numPr>
        <w:ind w:left="1134" w:hanging="425"/>
        <w:rPr>
          <w:lang w:val="en-AU"/>
        </w:rPr>
      </w:pPr>
      <w:r w:rsidRPr="00560A87">
        <w:rPr>
          <w:lang w:val="en-AU"/>
        </w:rPr>
        <w:t>Provide</w:t>
      </w:r>
      <w:r>
        <w:rPr>
          <w:lang w:val="en-AU"/>
        </w:rPr>
        <w:t xml:space="preserve"> regular and detailed </w:t>
      </w:r>
      <w:r w:rsidRPr="00560A87">
        <w:rPr>
          <w:lang w:val="en-AU"/>
        </w:rPr>
        <w:t xml:space="preserve">interim reports </w:t>
      </w:r>
      <w:r>
        <w:rPr>
          <w:lang w:val="en-AU"/>
        </w:rPr>
        <w:t>throughout its lifespan</w:t>
      </w:r>
      <w:r w:rsidR="00C155C4">
        <w:rPr>
          <w:lang w:val="en-AU"/>
        </w:rPr>
        <w:t xml:space="preserve"> in a wide range of accessible formats</w:t>
      </w:r>
      <w:r w:rsidR="0037138C">
        <w:rPr>
          <w:lang w:val="en-AU"/>
        </w:rPr>
        <w:t>; and</w:t>
      </w:r>
    </w:p>
    <w:p w14:paraId="34507330" w14:textId="77777777" w:rsidR="00826320" w:rsidRDefault="00826320" w:rsidP="00826320">
      <w:pPr>
        <w:ind w:left="1134"/>
        <w:rPr>
          <w:lang w:val="en-AU"/>
        </w:rPr>
      </w:pPr>
    </w:p>
    <w:p w14:paraId="74111120" w14:textId="21CA379C" w:rsidR="00560A87" w:rsidRDefault="00560A87" w:rsidP="009F77C4">
      <w:pPr>
        <w:numPr>
          <w:ilvl w:val="1"/>
          <w:numId w:val="11"/>
        </w:numPr>
        <w:ind w:left="1134" w:hanging="425"/>
        <w:rPr>
          <w:lang w:val="en-AU"/>
        </w:rPr>
      </w:pPr>
      <w:r w:rsidRPr="00560A87">
        <w:rPr>
          <w:lang w:val="en-AU"/>
        </w:rPr>
        <w:t xml:space="preserve">Provide support for people with disability </w:t>
      </w:r>
      <w:r w:rsidR="009F77C4">
        <w:rPr>
          <w:noProof/>
          <w:lang w:val="en-AU"/>
        </w:rPr>
        <w:t xml:space="preserve">to </w:t>
      </w:r>
      <w:r w:rsidR="00E96B69">
        <w:rPr>
          <w:noProof/>
          <w:lang w:val="en-AU"/>
        </w:rPr>
        <w:t xml:space="preserve">give evidence to </w:t>
      </w:r>
      <w:r w:rsidR="009F77C4">
        <w:rPr>
          <w:noProof/>
          <w:lang w:val="en-AU"/>
        </w:rPr>
        <w:t xml:space="preserve">the </w:t>
      </w:r>
      <w:r w:rsidR="009F77C4">
        <w:rPr>
          <w:lang w:val="en"/>
        </w:rPr>
        <w:t>Royal Commission</w:t>
      </w:r>
      <w:r w:rsidRPr="00560A87">
        <w:rPr>
          <w:noProof/>
          <w:lang w:val="en-AU"/>
        </w:rPr>
        <w:t xml:space="preserve"> </w:t>
      </w:r>
      <w:r w:rsidR="00E96B69">
        <w:rPr>
          <w:noProof/>
          <w:lang w:val="en-AU"/>
        </w:rPr>
        <w:t>before during and after their involvement</w:t>
      </w:r>
      <w:r w:rsidRPr="00560A87">
        <w:rPr>
          <w:lang w:val="en-AU"/>
        </w:rPr>
        <w:t xml:space="preserve"> inclusive of accessibility, support and professional counselling</w:t>
      </w:r>
      <w:r w:rsidR="009F77C4">
        <w:rPr>
          <w:lang w:val="en-AU"/>
        </w:rPr>
        <w:t>.</w:t>
      </w:r>
    </w:p>
    <w:p w14:paraId="51E7EE1A" w14:textId="77777777" w:rsidR="00CF007C" w:rsidRDefault="00CF007C" w:rsidP="00CF007C">
      <w:pPr>
        <w:rPr>
          <w:lang w:val="en-AU"/>
        </w:rPr>
      </w:pPr>
    </w:p>
    <w:p w14:paraId="59DB2582" w14:textId="03166D9A" w:rsidR="00560A87" w:rsidRDefault="00560A87" w:rsidP="00560A87">
      <w:pPr>
        <w:pStyle w:val="Heading3"/>
      </w:pPr>
      <w:bookmarkStart w:id="11" w:name="_Toc4593812"/>
      <w:r>
        <w:t>Government requirements:</w:t>
      </w:r>
      <w:bookmarkEnd w:id="11"/>
    </w:p>
    <w:p w14:paraId="23972AEF" w14:textId="65C41703" w:rsidR="00560A87" w:rsidRPr="00560A87" w:rsidRDefault="00560A87" w:rsidP="00560A87">
      <w:pPr>
        <w:rPr>
          <w:lang w:val="en-AU"/>
        </w:rPr>
      </w:pPr>
      <w:r>
        <w:rPr>
          <w:lang w:val="en-AU"/>
        </w:rPr>
        <w:t>The Government needs to commit to the following in support of a comprehensive Royal Commission</w:t>
      </w:r>
      <w:r w:rsidR="0037138C">
        <w:rPr>
          <w:lang w:val="en-AU"/>
        </w:rPr>
        <w:t>:</w:t>
      </w:r>
    </w:p>
    <w:p w14:paraId="1F663897" w14:textId="1D761CA3" w:rsidR="00560A87" w:rsidRDefault="0037138C" w:rsidP="009F77C4">
      <w:pPr>
        <w:numPr>
          <w:ilvl w:val="1"/>
          <w:numId w:val="11"/>
        </w:numPr>
        <w:spacing w:after="0"/>
        <w:ind w:left="1134" w:hanging="425"/>
        <w:rPr>
          <w:rFonts w:cs="Arial"/>
        </w:rPr>
      </w:pPr>
      <w:r>
        <w:rPr>
          <w:rFonts w:cs="Arial"/>
        </w:rPr>
        <w:t>To</w:t>
      </w:r>
      <w:r w:rsidR="00560A87">
        <w:rPr>
          <w:rFonts w:cs="Arial"/>
        </w:rPr>
        <w:t xml:space="preserve"> f</w:t>
      </w:r>
      <w:r w:rsidR="00560A87" w:rsidRPr="00BF5F40">
        <w:rPr>
          <w:rFonts w:cs="Arial"/>
        </w:rPr>
        <w:t>ully fund</w:t>
      </w:r>
      <w:r>
        <w:rPr>
          <w:rFonts w:cs="Arial"/>
        </w:rPr>
        <w:t xml:space="preserve"> the</w:t>
      </w:r>
      <w:r w:rsidR="00560A87" w:rsidRPr="00BF5F40">
        <w:rPr>
          <w:rFonts w:cs="Arial"/>
        </w:rPr>
        <w:t xml:space="preserve"> </w:t>
      </w:r>
      <w:r w:rsidR="009F77C4">
        <w:rPr>
          <w:lang w:val="en"/>
        </w:rPr>
        <w:t>Royal Commission</w:t>
      </w:r>
      <w:r w:rsidR="00560A87">
        <w:rPr>
          <w:rFonts w:cs="Arial"/>
        </w:rPr>
        <w:t xml:space="preserve"> </w:t>
      </w:r>
      <w:r w:rsidR="00560A87" w:rsidRPr="00BF5F40">
        <w:rPr>
          <w:rFonts w:cs="Arial"/>
        </w:rPr>
        <w:t>to undertake a comprehensive inquiry</w:t>
      </w:r>
      <w:r w:rsidR="00560A87">
        <w:rPr>
          <w:rFonts w:cs="Arial"/>
        </w:rPr>
        <w:t xml:space="preserve"> across multiple budgets and financial years</w:t>
      </w:r>
      <w:r>
        <w:rPr>
          <w:rFonts w:cs="Arial"/>
        </w:rPr>
        <w:t xml:space="preserve"> as necessary;</w:t>
      </w:r>
    </w:p>
    <w:p w14:paraId="1F2BA615" w14:textId="77777777" w:rsidR="00560A87" w:rsidRDefault="00560A87" w:rsidP="009F77C4">
      <w:pPr>
        <w:spacing w:after="0"/>
        <w:ind w:left="1134" w:hanging="425"/>
        <w:rPr>
          <w:rFonts w:cs="Arial"/>
        </w:rPr>
      </w:pPr>
    </w:p>
    <w:p w14:paraId="7D779BCD" w14:textId="48A8C1B6" w:rsidR="00560A87" w:rsidRPr="00560A87" w:rsidRDefault="0037138C" w:rsidP="009F77C4">
      <w:pPr>
        <w:numPr>
          <w:ilvl w:val="1"/>
          <w:numId w:val="11"/>
        </w:numPr>
        <w:spacing w:after="0"/>
        <w:ind w:left="1134" w:hanging="425"/>
        <w:rPr>
          <w:rFonts w:cs="Arial"/>
        </w:rPr>
      </w:pPr>
      <w:r>
        <w:rPr>
          <w:lang w:val="en-AU"/>
        </w:rPr>
        <w:t>To publish the T</w:t>
      </w:r>
      <w:r w:rsidR="00735AC4">
        <w:rPr>
          <w:lang w:val="en-AU"/>
        </w:rPr>
        <w:t>erms of Reference,</w:t>
      </w:r>
      <w:r>
        <w:rPr>
          <w:lang w:val="en-AU"/>
        </w:rPr>
        <w:t xml:space="preserve"> appoint the Commissioners and direct the work to begin as soon as practicable</w:t>
      </w:r>
      <w:r w:rsidR="00735AC4">
        <w:rPr>
          <w:lang w:val="en-AU"/>
        </w:rPr>
        <w:t xml:space="preserve"> in 2019</w:t>
      </w:r>
      <w:r>
        <w:rPr>
          <w:lang w:val="en-AU"/>
        </w:rPr>
        <w:t>;</w:t>
      </w:r>
    </w:p>
    <w:p w14:paraId="59ADC94B" w14:textId="77777777" w:rsidR="00560A87" w:rsidRDefault="00560A87" w:rsidP="009F77C4">
      <w:pPr>
        <w:spacing w:after="0"/>
        <w:ind w:left="1134" w:hanging="425"/>
        <w:rPr>
          <w:rFonts w:cs="Arial"/>
        </w:rPr>
      </w:pPr>
    </w:p>
    <w:p w14:paraId="55DDC960" w14:textId="43D2B88C" w:rsidR="00560A87" w:rsidRDefault="0037138C" w:rsidP="009F77C4">
      <w:pPr>
        <w:numPr>
          <w:ilvl w:val="1"/>
          <w:numId w:val="11"/>
        </w:numPr>
        <w:spacing w:after="0"/>
        <w:ind w:left="1134" w:hanging="425"/>
        <w:rPr>
          <w:rFonts w:cs="Arial"/>
        </w:rPr>
      </w:pPr>
      <w:r>
        <w:rPr>
          <w:lang w:val="en-AU"/>
        </w:rPr>
        <w:t xml:space="preserve">Ensure there is adequate </w:t>
      </w:r>
      <w:r w:rsidR="00560A87" w:rsidRPr="00560A87">
        <w:rPr>
          <w:lang w:val="en-AU"/>
        </w:rPr>
        <w:t>support for people with disabilit</w:t>
      </w:r>
      <w:r w:rsidR="009F77C4">
        <w:rPr>
          <w:lang w:val="en-AU"/>
        </w:rPr>
        <w:t xml:space="preserve">y to </w:t>
      </w:r>
      <w:r w:rsidR="00047466">
        <w:rPr>
          <w:lang w:val="en-AU"/>
        </w:rPr>
        <w:t>both give evidence</w:t>
      </w:r>
      <w:r w:rsidR="00735AC4">
        <w:rPr>
          <w:lang w:val="en-AU"/>
        </w:rPr>
        <w:t xml:space="preserve">, </w:t>
      </w:r>
      <w:r w:rsidR="00047466">
        <w:rPr>
          <w:lang w:val="en-AU"/>
        </w:rPr>
        <w:t>observe proceedings</w:t>
      </w:r>
      <w:r w:rsidR="00735AC4">
        <w:rPr>
          <w:lang w:val="en-AU"/>
        </w:rPr>
        <w:t xml:space="preserve"> and to</w:t>
      </w:r>
      <w:r w:rsidR="00047466">
        <w:rPr>
          <w:lang w:val="en-AU"/>
        </w:rPr>
        <w:t xml:space="preserve"> </w:t>
      </w:r>
      <w:r w:rsidR="009F77C4">
        <w:rPr>
          <w:lang w:val="en-AU"/>
        </w:rPr>
        <w:t xml:space="preserve">fully participate in the </w:t>
      </w:r>
      <w:r w:rsidR="009F77C4">
        <w:rPr>
          <w:lang w:val="en"/>
        </w:rPr>
        <w:t>Royal Commission</w:t>
      </w:r>
      <w:r w:rsidR="00560A87" w:rsidRPr="00560A87">
        <w:rPr>
          <w:lang w:val="en-AU"/>
        </w:rPr>
        <w:t xml:space="preserve"> </w:t>
      </w:r>
      <w:r w:rsidR="00F95575">
        <w:rPr>
          <w:lang w:val="en-AU"/>
        </w:rPr>
        <w:t>before, during and after their participation inclusive</w:t>
      </w:r>
      <w:r w:rsidR="00560A87" w:rsidRPr="00560A87">
        <w:rPr>
          <w:lang w:val="en-AU"/>
        </w:rPr>
        <w:t xml:space="preserve"> of accessibility, supports and professional counselling through </w:t>
      </w:r>
      <w:r w:rsidR="00F95575">
        <w:rPr>
          <w:lang w:val="en-AU"/>
        </w:rPr>
        <w:t>suitably qualified Royal Commission Staff or contracted</w:t>
      </w:r>
      <w:r w:rsidR="00F95575" w:rsidRPr="00560A87">
        <w:rPr>
          <w:lang w:val="en-AU"/>
        </w:rPr>
        <w:t xml:space="preserve"> </w:t>
      </w:r>
      <w:r w:rsidR="00560A87" w:rsidRPr="00560A87">
        <w:rPr>
          <w:lang w:val="en-AU"/>
        </w:rPr>
        <w:t>providers</w:t>
      </w:r>
      <w:r w:rsidR="00F95575">
        <w:rPr>
          <w:lang w:val="en-AU"/>
        </w:rPr>
        <w:t>; and</w:t>
      </w:r>
    </w:p>
    <w:p w14:paraId="0514D1EF" w14:textId="77777777" w:rsidR="00560A87" w:rsidRDefault="00560A87" w:rsidP="009F77C4">
      <w:pPr>
        <w:spacing w:after="0"/>
        <w:ind w:left="1134" w:hanging="425"/>
        <w:rPr>
          <w:rFonts w:cs="Arial"/>
        </w:rPr>
      </w:pPr>
    </w:p>
    <w:p w14:paraId="4DCAE5A5" w14:textId="7AB7A430" w:rsidR="00560A87" w:rsidRPr="00560A87" w:rsidRDefault="00560A87" w:rsidP="009F77C4">
      <w:pPr>
        <w:numPr>
          <w:ilvl w:val="1"/>
          <w:numId w:val="11"/>
        </w:numPr>
        <w:spacing w:after="0"/>
        <w:ind w:left="1134" w:hanging="425"/>
        <w:rPr>
          <w:rFonts w:cs="Arial"/>
        </w:rPr>
      </w:pPr>
      <w:bookmarkStart w:id="12" w:name="_GoBack"/>
      <w:bookmarkEnd w:id="12"/>
      <w:r w:rsidRPr="00560A87">
        <w:rPr>
          <w:lang w:val="en-AU"/>
        </w:rPr>
        <w:t xml:space="preserve">Provide additional Federal Government funding support to advocacy and systemic advocacy organisations to assist people with disability </w:t>
      </w:r>
      <w:r w:rsidR="00826320">
        <w:rPr>
          <w:lang w:val="en-AU"/>
        </w:rPr>
        <w:t xml:space="preserve">to </w:t>
      </w:r>
      <w:r w:rsidR="00F95575" w:rsidRPr="00826320">
        <w:rPr>
          <w:noProof/>
          <w:lang w:val="en-AU"/>
        </w:rPr>
        <w:t>engage</w:t>
      </w:r>
      <w:r w:rsidR="00735AC4">
        <w:rPr>
          <w:lang w:val="en-AU"/>
        </w:rPr>
        <w:t>, before, during and after the</w:t>
      </w:r>
      <w:r w:rsidR="00F95575">
        <w:rPr>
          <w:lang w:val="en-AU"/>
        </w:rPr>
        <w:t xml:space="preserve"> Royal Commission</w:t>
      </w:r>
      <w:r w:rsidR="00735AC4">
        <w:rPr>
          <w:lang w:val="en-AU"/>
        </w:rPr>
        <w:t>s’ operation</w:t>
      </w:r>
      <w:r w:rsidR="00F95575">
        <w:rPr>
          <w:lang w:val="en-AU"/>
        </w:rPr>
        <w:t>.</w:t>
      </w:r>
    </w:p>
    <w:p w14:paraId="777AE663" w14:textId="77777777" w:rsidR="00560A87" w:rsidRPr="00560A87" w:rsidRDefault="00560A87" w:rsidP="00560A87">
      <w:pPr>
        <w:ind w:left="1845"/>
        <w:rPr>
          <w:lang w:val="en-AU"/>
        </w:rPr>
      </w:pPr>
    </w:p>
    <w:p w14:paraId="50F9E736" w14:textId="6FF4A5F3" w:rsidR="00560A87" w:rsidRDefault="00560A87">
      <w:pPr>
        <w:spacing w:after="0" w:line="240" w:lineRule="auto"/>
        <w:rPr>
          <w:lang w:val="en"/>
        </w:rPr>
      </w:pPr>
      <w:r>
        <w:rPr>
          <w:lang w:val="en"/>
        </w:rPr>
        <w:br w:type="page"/>
      </w:r>
    </w:p>
    <w:p w14:paraId="4577CCE2" w14:textId="13EF3FAC" w:rsidR="00560A87" w:rsidRPr="00D1259C" w:rsidRDefault="00560A87" w:rsidP="00560A87">
      <w:pPr>
        <w:pStyle w:val="Heading2"/>
      </w:pPr>
      <w:bookmarkStart w:id="13" w:name="_Toc4593813"/>
      <w:r>
        <w:t>Contact</w:t>
      </w:r>
      <w:bookmarkEnd w:id="13"/>
    </w:p>
    <w:p w14:paraId="178F4D3F" w14:textId="7BBB77E9" w:rsidR="009F6A9C" w:rsidRDefault="00560A87" w:rsidP="00560A87">
      <w:pPr>
        <w:rPr>
          <w:lang w:val="en"/>
        </w:rPr>
      </w:pPr>
      <w:r>
        <w:rPr>
          <w:lang w:val="en"/>
        </w:rPr>
        <w:t>Please contact the following via email, to clarify any elements;</w:t>
      </w:r>
    </w:p>
    <w:p w14:paraId="1A71FADD" w14:textId="77777777" w:rsidR="00560A87" w:rsidRDefault="00560A87" w:rsidP="00560A87">
      <w:pPr>
        <w:rPr>
          <w:lang w:val="en"/>
        </w:rPr>
      </w:pPr>
    </w:p>
    <w:p w14:paraId="37A7B8B8" w14:textId="44941432" w:rsidR="00560A87" w:rsidRDefault="00560A87" w:rsidP="00560A87">
      <w:pPr>
        <w:rPr>
          <w:lang w:val="en"/>
        </w:rPr>
      </w:pPr>
      <w:r>
        <w:rPr>
          <w:lang w:val="en"/>
        </w:rPr>
        <w:t>Ross Joyce</w:t>
      </w:r>
    </w:p>
    <w:p w14:paraId="3866388C" w14:textId="0FC78A2C" w:rsidR="00560A87" w:rsidRDefault="00560A87" w:rsidP="00560A87">
      <w:pPr>
        <w:rPr>
          <w:lang w:val="en"/>
        </w:rPr>
      </w:pPr>
      <w:r>
        <w:rPr>
          <w:lang w:val="en"/>
        </w:rPr>
        <w:t>Chief Executive Officer</w:t>
      </w:r>
    </w:p>
    <w:p w14:paraId="3140C45D" w14:textId="1CB9DE62" w:rsidR="009F77C4" w:rsidRDefault="009F77C4" w:rsidP="00560A87">
      <w:pPr>
        <w:rPr>
          <w:lang w:val="en"/>
        </w:rPr>
      </w:pPr>
      <w:r>
        <w:rPr>
          <w:lang w:val="en"/>
        </w:rPr>
        <w:t>Australian Federation of Disability Organisations</w:t>
      </w:r>
    </w:p>
    <w:p w14:paraId="7FD7AAFC" w14:textId="332EF15E" w:rsidR="00560A87" w:rsidRDefault="00560A87" w:rsidP="00560A87">
      <w:pPr>
        <w:rPr>
          <w:lang w:val="en"/>
        </w:rPr>
      </w:pPr>
      <w:r>
        <w:rPr>
          <w:lang w:val="en"/>
        </w:rPr>
        <w:t>Email: ceo@afdo.org.au</w:t>
      </w:r>
    </w:p>
    <w:sectPr w:rsidR="00560A87" w:rsidSect="009F77C4">
      <w:type w:val="continuous"/>
      <w:pgSz w:w="11901" w:h="16817"/>
      <w:pgMar w:top="851" w:right="986" w:bottom="568"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DDBA9" w14:textId="77777777" w:rsidR="00B865AA" w:rsidRDefault="00B865AA">
      <w:pPr>
        <w:spacing w:after="0"/>
      </w:pPr>
      <w:r>
        <w:separator/>
      </w:r>
    </w:p>
  </w:endnote>
  <w:endnote w:type="continuationSeparator" w:id="0">
    <w:p w14:paraId="7ECE42D6" w14:textId="77777777" w:rsidR="00B865AA" w:rsidRDefault="00B86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42070"/>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9F77C4">
          <w:rPr>
            <w:noProof/>
            <w:sz w:val="28"/>
            <w:szCs w:val="28"/>
          </w:rPr>
          <w:t>4</w:t>
        </w:r>
        <w:r w:rsidRPr="009F1A6D">
          <w:rPr>
            <w:noProof/>
            <w:sz w:val="28"/>
            <w:szCs w:val="28"/>
          </w:rPr>
          <w:fldChar w:fldCharType="end"/>
        </w:r>
      </w:p>
    </w:sdtContent>
  </w:sdt>
  <w:p w14:paraId="7BC1AB75"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4F7F16"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4639C" w14:textId="77777777" w:rsidR="00B865AA" w:rsidRDefault="00B865AA">
      <w:pPr>
        <w:spacing w:after="0"/>
      </w:pPr>
      <w:r>
        <w:separator/>
      </w:r>
    </w:p>
  </w:footnote>
  <w:footnote w:type="continuationSeparator" w:id="0">
    <w:p w14:paraId="7729CE65" w14:textId="77777777" w:rsidR="00B865AA" w:rsidRDefault="00B865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6ED2" w14:textId="12198A76" w:rsidR="00942A9F" w:rsidRDefault="00942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8E19533" w:rsidR="00942A9F" w:rsidRPr="00990CB1" w:rsidRDefault="00942A9F" w:rsidP="004D6D08">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3933C501"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7F57ECF"/>
    <w:multiLevelType w:val="hybridMultilevel"/>
    <w:tmpl w:val="3E1A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4CD7257"/>
    <w:multiLevelType w:val="hybridMultilevel"/>
    <w:tmpl w:val="AC46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63AE6161"/>
    <w:multiLevelType w:val="hybridMultilevel"/>
    <w:tmpl w:val="FD3CA640"/>
    <w:lvl w:ilvl="0" w:tplc="0C090001">
      <w:start w:val="1"/>
      <w:numFmt w:val="bullet"/>
      <w:lvlText w:val=""/>
      <w:lvlJc w:val="left"/>
      <w:pPr>
        <w:ind w:left="1125" w:hanging="360"/>
      </w:pPr>
      <w:rPr>
        <w:rFonts w:ascii="Symbol" w:hAnsi="Symbol" w:hint="default"/>
      </w:rPr>
    </w:lvl>
    <w:lvl w:ilvl="1" w:tplc="0C090001">
      <w:start w:val="1"/>
      <w:numFmt w:val="bullet"/>
      <w:lvlText w:val=""/>
      <w:lvlJc w:val="left"/>
      <w:pPr>
        <w:ind w:left="1845" w:hanging="360"/>
      </w:pPr>
      <w:rPr>
        <w:rFonts w:ascii="Symbol" w:hAnsi="Symbol" w:hint="default"/>
      </w:rPr>
    </w:lvl>
    <w:lvl w:ilvl="2" w:tplc="0C090005">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6"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7"/>
  </w:num>
  <w:num w:numId="3">
    <w:abstractNumId w:val="8"/>
  </w:num>
  <w:num w:numId="4">
    <w:abstractNumId w:val="2"/>
  </w:num>
  <w:num w:numId="5">
    <w:abstractNumId w:val="2"/>
    <w:lvlOverride w:ilvl="0">
      <w:startOverride w:val="1"/>
    </w:lvlOverride>
  </w:num>
  <w:num w:numId="6">
    <w:abstractNumId w:val="0"/>
  </w:num>
  <w:num w:numId="7">
    <w:abstractNumId w:val="4"/>
  </w:num>
  <w:num w:numId="8">
    <w:abstractNumId w:val="6"/>
  </w:num>
  <w:num w:numId="9">
    <w:abstractNumId w:val="3"/>
  </w:num>
  <w:num w:numId="10">
    <w:abstractNumId w:val="1"/>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MqsFAPomPhAtAAAA"/>
  </w:docVars>
  <w:rsids>
    <w:rsidRoot w:val="00990CB1"/>
    <w:rsid w:val="00002CD0"/>
    <w:rsid w:val="0001024A"/>
    <w:rsid w:val="00016F40"/>
    <w:rsid w:val="0003483B"/>
    <w:rsid w:val="00035CC5"/>
    <w:rsid w:val="00037048"/>
    <w:rsid w:val="000413D5"/>
    <w:rsid w:val="0004409F"/>
    <w:rsid w:val="00045D81"/>
    <w:rsid w:val="00047466"/>
    <w:rsid w:val="000B6263"/>
    <w:rsid w:val="000D531D"/>
    <w:rsid w:val="000F0758"/>
    <w:rsid w:val="000F63C5"/>
    <w:rsid w:val="000F7E41"/>
    <w:rsid w:val="001068A9"/>
    <w:rsid w:val="00110A2F"/>
    <w:rsid w:val="001339BA"/>
    <w:rsid w:val="00135C72"/>
    <w:rsid w:val="001437BF"/>
    <w:rsid w:val="00160F24"/>
    <w:rsid w:val="00162198"/>
    <w:rsid w:val="00162A08"/>
    <w:rsid w:val="001D0459"/>
    <w:rsid w:val="001D3719"/>
    <w:rsid w:val="00217507"/>
    <w:rsid w:val="00234C33"/>
    <w:rsid w:val="00234D0F"/>
    <w:rsid w:val="00237EFA"/>
    <w:rsid w:val="002675D2"/>
    <w:rsid w:val="002A07D0"/>
    <w:rsid w:val="002A789C"/>
    <w:rsid w:val="002B5378"/>
    <w:rsid w:val="002E1922"/>
    <w:rsid w:val="002E44C0"/>
    <w:rsid w:val="002E558B"/>
    <w:rsid w:val="002F0797"/>
    <w:rsid w:val="00300B46"/>
    <w:rsid w:val="003047EC"/>
    <w:rsid w:val="00304B05"/>
    <w:rsid w:val="00316E96"/>
    <w:rsid w:val="003365FD"/>
    <w:rsid w:val="00336709"/>
    <w:rsid w:val="003442AE"/>
    <w:rsid w:val="003615B6"/>
    <w:rsid w:val="0036167E"/>
    <w:rsid w:val="00362890"/>
    <w:rsid w:val="00362DD8"/>
    <w:rsid w:val="003641CE"/>
    <w:rsid w:val="00370AFA"/>
    <w:rsid w:val="0037138C"/>
    <w:rsid w:val="0038046D"/>
    <w:rsid w:val="00386983"/>
    <w:rsid w:val="00395F26"/>
    <w:rsid w:val="003A13C7"/>
    <w:rsid w:val="003A4D29"/>
    <w:rsid w:val="003A6C2F"/>
    <w:rsid w:val="003A7845"/>
    <w:rsid w:val="003C0C89"/>
    <w:rsid w:val="003C5F51"/>
    <w:rsid w:val="003E7F6E"/>
    <w:rsid w:val="00424A0A"/>
    <w:rsid w:val="00431A90"/>
    <w:rsid w:val="00445F89"/>
    <w:rsid w:val="004512BE"/>
    <w:rsid w:val="00460436"/>
    <w:rsid w:val="004668B7"/>
    <w:rsid w:val="00476254"/>
    <w:rsid w:val="004B2569"/>
    <w:rsid w:val="004B2DC1"/>
    <w:rsid w:val="004B3D3F"/>
    <w:rsid w:val="004B420D"/>
    <w:rsid w:val="004D6D08"/>
    <w:rsid w:val="00523362"/>
    <w:rsid w:val="0052531C"/>
    <w:rsid w:val="00560A87"/>
    <w:rsid w:val="00572966"/>
    <w:rsid w:val="00592BFE"/>
    <w:rsid w:val="005A06DC"/>
    <w:rsid w:val="005B06C9"/>
    <w:rsid w:val="005C28F2"/>
    <w:rsid w:val="005D1E2A"/>
    <w:rsid w:val="005E1818"/>
    <w:rsid w:val="005E3D2C"/>
    <w:rsid w:val="005E5911"/>
    <w:rsid w:val="005F3E74"/>
    <w:rsid w:val="00607D1E"/>
    <w:rsid w:val="006259F7"/>
    <w:rsid w:val="00631B7B"/>
    <w:rsid w:val="0064578C"/>
    <w:rsid w:val="00651905"/>
    <w:rsid w:val="00683FF2"/>
    <w:rsid w:val="00684792"/>
    <w:rsid w:val="006926E4"/>
    <w:rsid w:val="0069363D"/>
    <w:rsid w:val="006B277B"/>
    <w:rsid w:val="006B7B0E"/>
    <w:rsid w:val="006D6D77"/>
    <w:rsid w:val="006F4CAC"/>
    <w:rsid w:val="00711789"/>
    <w:rsid w:val="00723C6F"/>
    <w:rsid w:val="007278E3"/>
    <w:rsid w:val="007350A2"/>
    <w:rsid w:val="00735AC4"/>
    <w:rsid w:val="00741858"/>
    <w:rsid w:val="00760D64"/>
    <w:rsid w:val="0077394C"/>
    <w:rsid w:val="00794803"/>
    <w:rsid w:val="007A1CC9"/>
    <w:rsid w:val="007A44BB"/>
    <w:rsid w:val="007B00D1"/>
    <w:rsid w:val="008016F4"/>
    <w:rsid w:val="00802B27"/>
    <w:rsid w:val="00816F20"/>
    <w:rsid w:val="00825715"/>
    <w:rsid w:val="00826320"/>
    <w:rsid w:val="008278AF"/>
    <w:rsid w:val="00856F3F"/>
    <w:rsid w:val="00865289"/>
    <w:rsid w:val="00881553"/>
    <w:rsid w:val="00896831"/>
    <w:rsid w:val="008A4AF0"/>
    <w:rsid w:val="008B0405"/>
    <w:rsid w:val="008B4E32"/>
    <w:rsid w:val="008B6B64"/>
    <w:rsid w:val="008C21BB"/>
    <w:rsid w:val="008C587D"/>
    <w:rsid w:val="008D73BD"/>
    <w:rsid w:val="008E4649"/>
    <w:rsid w:val="0091732F"/>
    <w:rsid w:val="009336E5"/>
    <w:rsid w:val="00937B5E"/>
    <w:rsid w:val="00942A9F"/>
    <w:rsid w:val="00974A67"/>
    <w:rsid w:val="00987378"/>
    <w:rsid w:val="00987564"/>
    <w:rsid w:val="00990CB1"/>
    <w:rsid w:val="0099374D"/>
    <w:rsid w:val="00997FAA"/>
    <w:rsid w:val="009B0BD9"/>
    <w:rsid w:val="009D3427"/>
    <w:rsid w:val="009E28C7"/>
    <w:rsid w:val="009F1A6D"/>
    <w:rsid w:val="009F6A9C"/>
    <w:rsid w:val="009F77C4"/>
    <w:rsid w:val="00A1093C"/>
    <w:rsid w:val="00A16D64"/>
    <w:rsid w:val="00A268C0"/>
    <w:rsid w:val="00A2736D"/>
    <w:rsid w:val="00A34F05"/>
    <w:rsid w:val="00A40D1B"/>
    <w:rsid w:val="00A42210"/>
    <w:rsid w:val="00A66A22"/>
    <w:rsid w:val="00A67D1A"/>
    <w:rsid w:val="00A73415"/>
    <w:rsid w:val="00A81922"/>
    <w:rsid w:val="00A846F6"/>
    <w:rsid w:val="00A909F3"/>
    <w:rsid w:val="00A94BD3"/>
    <w:rsid w:val="00AA0766"/>
    <w:rsid w:val="00AA59DD"/>
    <w:rsid w:val="00AB40EE"/>
    <w:rsid w:val="00AC5CA2"/>
    <w:rsid w:val="00AE312F"/>
    <w:rsid w:val="00AF5C51"/>
    <w:rsid w:val="00B0479B"/>
    <w:rsid w:val="00B42608"/>
    <w:rsid w:val="00B4673C"/>
    <w:rsid w:val="00B50355"/>
    <w:rsid w:val="00B70353"/>
    <w:rsid w:val="00B81411"/>
    <w:rsid w:val="00B82E96"/>
    <w:rsid w:val="00B865AA"/>
    <w:rsid w:val="00BA1AF8"/>
    <w:rsid w:val="00BB224D"/>
    <w:rsid w:val="00BD723F"/>
    <w:rsid w:val="00BF30C0"/>
    <w:rsid w:val="00BF650A"/>
    <w:rsid w:val="00C104F1"/>
    <w:rsid w:val="00C155C4"/>
    <w:rsid w:val="00C200DB"/>
    <w:rsid w:val="00C276D0"/>
    <w:rsid w:val="00C90CA2"/>
    <w:rsid w:val="00CC4314"/>
    <w:rsid w:val="00CF007C"/>
    <w:rsid w:val="00D1259C"/>
    <w:rsid w:val="00D2126D"/>
    <w:rsid w:val="00D21FC4"/>
    <w:rsid w:val="00D32DEB"/>
    <w:rsid w:val="00D4396B"/>
    <w:rsid w:val="00D52945"/>
    <w:rsid w:val="00D62EB6"/>
    <w:rsid w:val="00D71E35"/>
    <w:rsid w:val="00D90348"/>
    <w:rsid w:val="00D968D1"/>
    <w:rsid w:val="00DB7565"/>
    <w:rsid w:val="00E00AF5"/>
    <w:rsid w:val="00E103AB"/>
    <w:rsid w:val="00E22000"/>
    <w:rsid w:val="00E37C2E"/>
    <w:rsid w:val="00E412A7"/>
    <w:rsid w:val="00E47779"/>
    <w:rsid w:val="00E658B5"/>
    <w:rsid w:val="00E94E8F"/>
    <w:rsid w:val="00E95952"/>
    <w:rsid w:val="00E96B69"/>
    <w:rsid w:val="00EA4FB9"/>
    <w:rsid w:val="00EA7BCC"/>
    <w:rsid w:val="00EB2276"/>
    <w:rsid w:val="00EC159E"/>
    <w:rsid w:val="00EC1E5C"/>
    <w:rsid w:val="00EE0521"/>
    <w:rsid w:val="00EE5AEF"/>
    <w:rsid w:val="00F12953"/>
    <w:rsid w:val="00F23C52"/>
    <w:rsid w:val="00F26DC5"/>
    <w:rsid w:val="00F54F37"/>
    <w:rsid w:val="00F95575"/>
    <w:rsid w:val="00FA1850"/>
    <w:rsid w:val="00FB63A7"/>
    <w:rsid w:val="00FD04E6"/>
    <w:rsid w:val="00FD3DC0"/>
    <w:rsid w:val="00FF7A4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0827-CFF7-4A2B-8CAE-3EAB6861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1383</Words>
  <Characters>8472</Characters>
  <Application>Microsoft Office Word</Application>
  <DocSecurity>0</DocSecurity>
  <Lines>445</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Premier.Tech</cp:lastModifiedBy>
  <cp:revision>2</cp:revision>
  <dcterms:created xsi:type="dcterms:W3CDTF">2019-10-12T19:39:00Z</dcterms:created>
  <dcterms:modified xsi:type="dcterms:W3CDTF">2019-10-12T19:39:00Z</dcterms:modified>
</cp:coreProperties>
</file>