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8E811" w14:textId="13908B9F" w:rsidR="00D1259C" w:rsidRDefault="00D1259C" w:rsidP="00BB224D">
      <w:pPr>
        <w:jc w:val="center"/>
        <w:rPr>
          <w:rFonts w:eastAsia="Times New Roman"/>
          <w:b/>
          <w:bCs/>
          <w:color w:val="00767F"/>
          <w:kern w:val="28"/>
          <w:sz w:val="44"/>
          <w:szCs w:val="32"/>
          <w:lang w:val="en-AU"/>
        </w:rPr>
      </w:pPr>
      <w:r>
        <w:rPr>
          <w:rFonts w:eastAsia="Times New Roman"/>
          <w:b/>
          <w:bCs/>
          <w:noProof/>
          <w:color w:val="00767F"/>
          <w:kern w:val="28"/>
          <w:sz w:val="44"/>
          <w:szCs w:val="32"/>
          <w:lang w:val="en-AU" w:eastAsia="en-AU"/>
        </w:rPr>
        <w:drawing>
          <wp:inline distT="0" distB="0" distL="0" distR="0" wp14:anchorId="14235A85" wp14:editId="4EB2934F">
            <wp:extent cx="1531301" cy="1830705"/>
            <wp:effectExtent l="0" t="0" r="0" b="0"/>
            <wp:docPr id="7" name="Picture 7" descr="AFDO Logo in three colours, teal, green and brown with &quot;Australian Federation of Disability Organisations&quot; written in full underneath." title="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DO_logo_CMYK_stacked.png"/>
                    <pic:cNvPicPr/>
                  </pic:nvPicPr>
                  <pic:blipFill>
                    <a:blip r:embed="rId8">
                      <a:extLst>
                        <a:ext uri="{28A0092B-C50C-407E-A947-70E740481C1C}">
                          <a14:useLocalDpi xmlns:a14="http://schemas.microsoft.com/office/drawing/2010/main" val="0"/>
                        </a:ext>
                      </a:extLst>
                    </a:blip>
                    <a:stretch>
                      <a:fillRect/>
                    </a:stretch>
                  </pic:blipFill>
                  <pic:spPr>
                    <a:xfrm>
                      <a:off x="0" y="0"/>
                      <a:ext cx="1531301" cy="1830705"/>
                    </a:xfrm>
                    <a:prstGeom prst="rect">
                      <a:avLst/>
                    </a:prstGeom>
                  </pic:spPr>
                </pic:pic>
              </a:graphicData>
            </a:graphic>
          </wp:inline>
        </w:drawing>
      </w:r>
    </w:p>
    <w:p w14:paraId="46F56D2B" w14:textId="77777777" w:rsidR="00D1259C" w:rsidRDefault="00D1259C" w:rsidP="00D1259C">
      <w:pPr>
        <w:jc w:val="center"/>
        <w:rPr>
          <w:rFonts w:eastAsia="Times New Roman"/>
          <w:b/>
          <w:bCs/>
          <w:color w:val="00767F"/>
          <w:kern w:val="28"/>
          <w:sz w:val="44"/>
          <w:szCs w:val="32"/>
          <w:lang w:val="en-AU"/>
        </w:rPr>
      </w:pPr>
    </w:p>
    <w:p w14:paraId="24ADA5C9" w14:textId="77777777" w:rsidR="001068A9" w:rsidRDefault="001068A9" w:rsidP="00D1259C">
      <w:pPr>
        <w:jc w:val="center"/>
        <w:rPr>
          <w:rFonts w:eastAsia="Times New Roman"/>
          <w:b/>
          <w:bCs/>
          <w:color w:val="00767F"/>
          <w:kern w:val="28"/>
          <w:sz w:val="44"/>
          <w:szCs w:val="32"/>
          <w:lang w:val="en-AU"/>
        </w:rPr>
      </w:pPr>
    </w:p>
    <w:p w14:paraId="7F941DE4" w14:textId="48C647BB" w:rsidR="00B950D8" w:rsidRPr="00B950D8" w:rsidRDefault="00B950D8" w:rsidP="00B950D8">
      <w:pPr>
        <w:jc w:val="center"/>
        <w:rPr>
          <w:rFonts w:eastAsia="Times New Roman"/>
          <w:b/>
          <w:bCs/>
          <w:color w:val="00767F"/>
          <w:kern w:val="28"/>
          <w:sz w:val="48"/>
          <w:szCs w:val="32"/>
          <w:lang w:val="en-AU"/>
        </w:rPr>
      </w:pPr>
      <w:r w:rsidRPr="00B950D8">
        <w:rPr>
          <w:rFonts w:eastAsia="Times New Roman"/>
          <w:b/>
          <w:bCs/>
          <w:color w:val="00767F"/>
          <w:kern w:val="28"/>
          <w:sz w:val="48"/>
          <w:szCs w:val="32"/>
          <w:lang w:val="en-AU"/>
        </w:rPr>
        <w:t>Senate Inquiry – Community Affairs References Committee</w:t>
      </w:r>
    </w:p>
    <w:p w14:paraId="79BABC9B" w14:textId="77777777" w:rsidR="00B950D8" w:rsidRDefault="00B950D8" w:rsidP="00B950D8">
      <w:pPr>
        <w:jc w:val="center"/>
        <w:rPr>
          <w:rFonts w:eastAsia="Times New Roman"/>
          <w:b/>
          <w:bCs/>
          <w:color w:val="00767F"/>
          <w:kern w:val="28"/>
          <w:sz w:val="44"/>
          <w:szCs w:val="32"/>
          <w:lang w:val="en-AU"/>
        </w:rPr>
      </w:pPr>
    </w:p>
    <w:p w14:paraId="79BA5487" w14:textId="0D325094" w:rsidR="00D1259C" w:rsidRDefault="00B950D8" w:rsidP="009336E5">
      <w:pPr>
        <w:jc w:val="center"/>
        <w:rPr>
          <w:rFonts w:eastAsia="Times New Roman"/>
          <w:b/>
          <w:bCs/>
          <w:color w:val="00767F"/>
          <w:kern w:val="28"/>
          <w:sz w:val="36"/>
          <w:szCs w:val="32"/>
          <w:lang w:val="en-AU"/>
        </w:rPr>
      </w:pPr>
      <w:r w:rsidRPr="00B950D8">
        <w:rPr>
          <w:rFonts w:eastAsia="Times New Roman"/>
          <w:b/>
          <w:bCs/>
          <w:color w:val="00767F"/>
          <w:kern w:val="28"/>
          <w:sz w:val="36"/>
          <w:szCs w:val="32"/>
          <w:lang w:val="en-AU"/>
        </w:rPr>
        <w:t>Adequacy of Newstart and related payments and alternative mechanisms to determine the level of inco</w:t>
      </w:r>
      <w:r>
        <w:rPr>
          <w:rFonts w:eastAsia="Times New Roman"/>
          <w:b/>
          <w:bCs/>
          <w:color w:val="00767F"/>
          <w:kern w:val="28"/>
          <w:sz w:val="36"/>
          <w:szCs w:val="32"/>
          <w:lang w:val="en-AU"/>
        </w:rPr>
        <w:t>me support payments in Australia</w:t>
      </w:r>
      <w:r w:rsidR="001068A9" w:rsidRPr="00B950D8">
        <w:rPr>
          <w:rFonts w:eastAsia="Times New Roman"/>
          <w:b/>
          <w:bCs/>
          <w:color w:val="00767F"/>
          <w:kern w:val="28"/>
          <w:sz w:val="36"/>
          <w:szCs w:val="32"/>
          <w:lang w:val="en-AU"/>
        </w:rPr>
        <w:t xml:space="preserve"> </w:t>
      </w:r>
    </w:p>
    <w:p w14:paraId="48C207E5" w14:textId="77777777" w:rsidR="00993D9C" w:rsidRPr="00993D9C" w:rsidRDefault="00993D9C" w:rsidP="001068A9">
      <w:pPr>
        <w:jc w:val="center"/>
        <w:rPr>
          <w:b/>
          <w:color w:val="343434"/>
          <w:sz w:val="96"/>
          <w:szCs w:val="96"/>
          <w:lang w:val="en"/>
        </w:rPr>
      </w:pPr>
      <w:bookmarkStart w:id="0" w:name="_Toc525849192"/>
      <w:bookmarkStart w:id="1" w:name="_Toc254011"/>
    </w:p>
    <w:p w14:paraId="52A6D486" w14:textId="2C36C4A4" w:rsidR="001068A9" w:rsidRDefault="00B950D8" w:rsidP="001068A9">
      <w:pPr>
        <w:jc w:val="center"/>
        <w:rPr>
          <w:b/>
          <w:color w:val="343434"/>
          <w:sz w:val="28"/>
          <w:szCs w:val="72"/>
          <w:lang w:val="en"/>
        </w:rPr>
      </w:pPr>
      <w:r>
        <w:rPr>
          <w:b/>
          <w:color w:val="343434"/>
          <w:sz w:val="28"/>
          <w:szCs w:val="72"/>
          <w:lang w:val="en"/>
        </w:rPr>
        <w:t>7</w:t>
      </w:r>
      <w:r w:rsidRPr="00B950D8">
        <w:rPr>
          <w:b/>
          <w:color w:val="343434"/>
          <w:sz w:val="28"/>
          <w:szCs w:val="72"/>
          <w:vertAlign w:val="superscript"/>
          <w:lang w:val="en"/>
        </w:rPr>
        <w:t>th</w:t>
      </w:r>
      <w:r>
        <w:rPr>
          <w:b/>
          <w:color w:val="343434"/>
          <w:sz w:val="28"/>
          <w:szCs w:val="72"/>
          <w:lang w:val="en"/>
        </w:rPr>
        <w:t xml:space="preserve"> October 2019</w:t>
      </w:r>
    </w:p>
    <w:p w14:paraId="0C33C1DF" w14:textId="77777777" w:rsidR="001068A9" w:rsidRDefault="001068A9">
      <w:pPr>
        <w:spacing w:after="0" w:line="240" w:lineRule="auto"/>
        <w:rPr>
          <w:b/>
          <w:color w:val="343434"/>
          <w:sz w:val="28"/>
          <w:szCs w:val="72"/>
          <w:lang w:val="en"/>
        </w:rPr>
      </w:pPr>
      <w:r>
        <w:rPr>
          <w:b/>
          <w:color w:val="343434"/>
          <w:sz w:val="28"/>
          <w:szCs w:val="72"/>
          <w:lang w:val="en"/>
        </w:rPr>
        <w:br w:type="page"/>
      </w:r>
    </w:p>
    <w:p w14:paraId="33C4E0F6" w14:textId="166718EC" w:rsidR="00045D81" w:rsidRPr="003A7845" w:rsidRDefault="00045D81" w:rsidP="001068A9">
      <w:pPr>
        <w:jc w:val="center"/>
        <w:rPr>
          <w:rStyle w:val="Heading2Char"/>
          <w:rFonts w:eastAsiaTheme="majorEastAsia"/>
          <w:b w:val="0"/>
        </w:rPr>
      </w:pPr>
      <w:bookmarkStart w:id="2" w:name="_Toc21416504"/>
      <w:r w:rsidRPr="003A7845">
        <w:rPr>
          <w:rStyle w:val="Heading2Char"/>
          <w:rFonts w:eastAsiaTheme="majorEastAsia"/>
        </w:rPr>
        <w:lastRenderedPageBreak/>
        <w:t>Table of Contents</w:t>
      </w:r>
      <w:bookmarkEnd w:id="0"/>
      <w:bookmarkEnd w:id="1"/>
      <w:bookmarkEnd w:id="2"/>
    </w:p>
    <w:p w14:paraId="3BBDE7E7" w14:textId="77777777" w:rsidR="00B950D8" w:rsidRPr="00D55730" w:rsidRDefault="00162A08">
      <w:pPr>
        <w:pStyle w:val="TOC2"/>
        <w:tabs>
          <w:tab w:val="right" w:leader="dot" w:pos="9339"/>
        </w:tabs>
        <w:rPr>
          <w:rFonts w:ascii="Arial" w:eastAsiaTheme="minorEastAsia" w:hAnsi="Arial" w:cs="Arial"/>
          <w:smallCaps w:val="0"/>
          <w:noProof/>
          <w:kern w:val="0"/>
          <w:sz w:val="24"/>
          <w:szCs w:val="24"/>
          <w:lang w:val="en-AU" w:eastAsia="en-AU"/>
        </w:rPr>
      </w:pPr>
      <w:r w:rsidRPr="00162A08">
        <w:rPr>
          <w:rFonts w:ascii="Arial" w:hAnsi="Arial" w:cs="Arial"/>
          <w:b/>
          <w:bCs/>
          <w:smallCaps w:val="0"/>
          <w:sz w:val="24"/>
          <w:szCs w:val="24"/>
        </w:rPr>
        <w:fldChar w:fldCharType="begin"/>
      </w:r>
      <w:r w:rsidRPr="00162A08">
        <w:rPr>
          <w:rFonts w:ascii="Arial" w:hAnsi="Arial" w:cs="Arial"/>
          <w:b/>
          <w:bCs/>
          <w:smallCaps w:val="0"/>
          <w:sz w:val="24"/>
          <w:szCs w:val="24"/>
        </w:rPr>
        <w:instrText xml:space="preserve"> TOC \o "1-3" \h \z \u </w:instrText>
      </w:r>
      <w:r w:rsidRPr="00162A08">
        <w:rPr>
          <w:rFonts w:ascii="Arial" w:hAnsi="Arial" w:cs="Arial"/>
          <w:b/>
          <w:bCs/>
          <w:smallCaps w:val="0"/>
          <w:sz w:val="24"/>
          <w:szCs w:val="24"/>
        </w:rPr>
        <w:fldChar w:fldCharType="separate"/>
      </w:r>
      <w:hyperlink w:anchor="_Toc21416504" w:history="1">
        <w:r w:rsidR="00B950D8" w:rsidRPr="00D55730">
          <w:rPr>
            <w:rStyle w:val="Hyperlink"/>
            <w:rFonts w:ascii="Arial" w:eastAsiaTheme="majorEastAsia" w:hAnsi="Arial" w:cs="Arial"/>
            <w:noProof/>
            <w:sz w:val="24"/>
            <w:szCs w:val="24"/>
          </w:rPr>
          <w:t>Table of Contents</w:t>
        </w:r>
        <w:r w:rsidR="00B950D8" w:rsidRPr="00D55730">
          <w:rPr>
            <w:rFonts w:ascii="Arial" w:hAnsi="Arial" w:cs="Arial"/>
            <w:noProof/>
            <w:webHidden/>
            <w:sz w:val="24"/>
            <w:szCs w:val="24"/>
          </w:rPr>
          <w:tab/>
        </w:r>
        <w:r w:rsidR="00B950D8" w:rsidRPr="00D55730">
          <w:rPr>
            <w:rFonts w:ascii="Arial" w:hAnsi="Arial" w:cs="Arial"/>
            <w:noProof/>
            <w:webHidden/>
            <w:sz w:val="24"/>
            <w:szCs w:val="24"/>
          </w:rPr>
          <w:fldChar w:fldCharType="begin"/>
        </w:r>
        <w:r w:rsidR="00B950D8" w:rsidRPr="00D55730">
          <w:rPr>
            <w:rFonts w:ascii="Arial" w:hAnsi="Arial" w:cs="Arial"/>
            <w:noProof/>
            <w:webHidden/>
            <w:sz w:val="24"/>
            <w:szCs w:val="24"/>
          </w:rPr>
          <w:instrText xml:space="preserve"> PAGEREF _Toc21416504 \h </w:instrText>
        </w:r>
        <w:r w:rsidR="00B950D8" w:rsidRPr="00D55730">
          <w:rPr>
            <w:rFonts w:ascii="Arial" w:hAnsi="Arial" w:cs="Arial"/>
            <w:noProof/>
            <w:webHidden/>
            <w:sz w:val="24"/>
            <w:szCs w:val="24"/>
          </w:rPr>
        </w:r>
        <w:r w:rsidR="00B950D8" w:rsidRPr="00D55730">
          <w:rPr>
            <w:rFonts w:ascii="Arial" w:hAnsi="Arial" w:cs="Arial"/>
            <w:noProof/>
            <w:webHidden/>
            <w:sz w:val="24"/>
            <w:szCs w:val="24"/>
          </w:rPr>
          <w:fldChar w:fldCharType="separate"/>
        </w:r>
        <w:r w:rsidR="00B950D8" w:rsidRPr="00D55730">
          <w:rPr>
            <w:rFonts w:ascii="Arial" w:hAnsi="Arial" w:cs="Arial"/>
            <w:noProof/>
            <w:webHidden/>
            <w:sz w:val="24"/>
            <w:szCs w:val="24"/>
          </w:rPr>
          <w:t>2</w:t>
        </w:r>
        <w:r w:rsidR="00B950D8" w:rsidRPr="00D55730">
          <w:rPr>
            <w:rFonts w:ascii="Arial" w:hAnsi="Arial" w:cs="Arial"/>
            <w:noProof/>
            <w:webHidden/>
            <w:sz w:val="24"/>
            <w:szCs w:val="24"/>
          </w:rPr>
          <w:fldChar w:fldCharType="end"/>
        </w:r>
      </w:hyperlink>
    </w:p>
    <w:p w14:paraId="7F764D79" w14:textId="77777777" w:rsidR="00B950D8" w:rsidRPr="00D55730" w:rsidRDefault="00221D50">
      <w:pPr>
        <w:pStyle w:val="TOC2"/>
        <w:tabs>
          <w:tab w:val="right" w:leader="dot" w:pos="9339"/>
        </w:tabs>
        <w:rPr>
          <w:rFonts w:ascii="Arial" w:eastAsiaTheme="minorEastAsia" w:hAnsi="Arial" w:cs="Arial"/>
          <w:smallCaps w:val="0"/>
          <w:noProof/>
          <w:kern w:val="0"/>
          <w:sz w:val="24"/>
          <w:szCs w:val="24"/>
          <w:lang w:val="en-AU" w:eastAsia="en-AU"/>
        </w:rPr>
      </w:pPr>
      <w:hyperlink w:anchor="_Toc21416505" w:history="1">
        <w:r w:rsidR="00B950D8" w:rsidRPr="00D55730">
          <w:rPr>
            <w:rStyle w:val="Hyperlink"/>
            <w:rFonts w:ascii="Arial" w:hAnsi="Arial" w:cs="Arial"/>
            <w:noProof/>
            <w:sz w:val="24"/>
            <w:szCs w:val="24"/>
          </w:rPr>
          <w:t>About AFDO</w:t>
        </w:r>
        <w:r w:rsidR="00B950D8" w:rsidRPr="00D55730">
          <w:rPr>
            <w:rFonts w:ascii="Arial" w:hAnsi="Arial" w:cs="Arial"/>
            <w:noProof/>
            <w:webHidden/>
            <w:sz w:val="24"/>
            <w:szCs w:val="24"/>
          </w:rPr>
          <w:tab/>
        </w:r>
        <w:r w:rsidR="00B950D8" w:rsidRPr="00D55730">
          <w:rPr>
            <w:rFonts w:ascii="Arial" w:hAnsi="Arial" w:cs="Arial"/>
            <w:noProof/>
            <w:webHidden/>
            <w:sz w:val="24"/>
            <w:szCs w:val="24"/>
          </w:rPr>
          <w:fldChar w:fldCharType="begin"/>
        </w:r>
        <w:r w:rsidR="00B950D8" w:rsidRPr="00D55730">
          <w:rPr>
            <w:rFonts w:ascii="Arial" w:hAnsi="Arial" w:cs="Arial"/>
            <w:noProof/>
            <w:webHidden/>
            <w:sz w:val="24"/>
            <w:szCs w:val="24"/>
          </w:rPr>
          <w:instrText xml:space="preserve"> PAGEREF _Toc21416505 \h </w:instrText>
        </w:r>
        <w:r w:rsidR="00B950D8" w:rsidRPr="00D55730">
          <w:rPr>
            <w:rFonts w:ascii="Arial" w:hAnsi="Arial" w:cs="Arial"/>
            <w:noProof/>
            <w:webHidden/>
            <w:sz w:val="24"/>
            <w:szCs w:val="24"/>
          </w:rPr>
        </w:r>
        <w:r w:rsidR="00B950D8" w:rsidRPr="00D55730">
          <w:rPr>
            <w:rFonts w:ascii="Arial" w:hAnsi="Arial" w:cs="Arial"/>
            <w:noProof/>
            <w:webHidden/>
            <w:sz w:val="24"/>
            <w:szCs w:val="24"/>
          </w:rPr>
          <w:fldChar w:fldCharType="separate"/>
        </w:r>
        <w:r w:rsidR="00B950D8" w:rsidRPr="00D55730">
          <w:rPr>
            <w:rFonts w:ascii="Arial" w:hAnsi="Arial" w:cs="Arial"/>
            <w:noProof/>
            <w:webHidden/>
            <w:sz w:val="24"/>
            <w:szCs w:val="24"/>
          </w:rPr>
          <w:t>3</w:t>
        </w:r>
        <w:r w:rsidR="00B950D8" w:rsidRPr="00D55730">
          <w:rPr>
            <w:rFonts w:ascii="Arial" w:hAnsi="Arial" w:cs="Arial"/>
            <w:noProof/>
            <w:webHidden/>
            <w:sz w:val="24"/>
            <w:szCs w:val="24"/>
          </w:rPr>
          <w:fldChar w:fldCharType="end"/>
        </w:r>
      </w:hyperlink>
    </w:p>
    <w:p w14:paraId="788722E0" w14:textId="77777777" w:rsidR="00B950D8" w:rsidRPr="00D55730" w:rsidRDefault="00221D50">
      <w:pPr>
        <w:pStyle w:val="TOC2"/>
        <w:tabs>
          <w:tab w:val="right" w:leader="dot" w:pos="9339"/>
        </w:tabs>
        <w:rPr>
          <w:rFonts w:ascii="Arial" w:eastAsiaTheme="minorEastAsia" w:hAnsi="Arial" w:cs="Arial"/>
          <w:smallCaps w:val="0"/>
          <w:noProof/>
          <w:kern w:val="0"/>
          <w:sz w:val="24"/>
          <w:szCs w:val="24"/>
          <w:lang w:val="en-AU" w:eastAsia="en-AU"/>
        </w:rPr>
      </w:pPr>
      <w:hyperlink w:anchor="_Toc21416506" w:history="1">
        <w:r w:rsidR="00B950D8" w:rsidRPr="00D55730">
          <w:rPr>
            <w:rStyle w:val="Hyperlink"/>
            <w:rFonts w:ascii="Arial" w:hAnsi="Arial" w:cs="Arial"/>
            <w:noProof/>
            <w:sz w:val="24"/>
            <w:szCs w:val="24"/>
          </w:rPr>
          <w:t>Focus of the AFDO Submission</w:t>
        </w:r>
        <w:r w:rsidR="00B950D8" w:rsidRPr="00D55730">
          <w:rPr>
            <w:rFonts w:ascii="Arial" w:hAnsi="Arial" w:cs="Arial"/>
            <w:noProof/>
            <w:webHidden/>
            <w:sz w:val="24"/>
            <w:szCs w:val="24"/>
          </w:rPr>
          <w:tab/>
        </w:r>
        <w:r w:rsidR="00B950D8" w:rsidRPr="00D55730">
          <w:rPr>
            <w:rFonts w:ascii="Arial" w:hAnsi="Arial" w:cs="Arial"/>
            <w:noProof/>
            <w:webHidden/>
            <w:sz w:val="24"/>
            <w:szCs w:val="24"/>
          </w:rPr>
          <w:fldChar w:fldCharType="begin"/>
        </w:r>
        <w:r w:rsidR="00B950D8" w:rsidRPr="00D55730">
          <w:rPr>
            <w:rFonts w:ascii="Arial" w:hAnsi="Arial" w:cs="Arial"/>
            <w:noProof/>
            <w:webHidden/>
            <w:sz w:val="24"/>
            <w:szCs w:val="24"/>
          </w:rPr>
          <w:instrText xml:space="preserve"> PAGEREF _Toc21416506 \h </w:instrText>
        </w:r>
        <w:r w:rsidR="00B950D8" w:rsidRPr="00D55730">
          <w:rPr>
            <w:rFonts w:ascii="Arial" w:hAnsi="Arial" w:cs="Arial"/>
            <w:noProof/>
            <w:webHidden/>
            <w:sz w:val="24"/>
            <w:szCs w:val="24"/>
          </w:rPr>
        </w:r>
        <w:r w:rsidR="00B950D8" w:rsidRPr="00D55730">
          <w:rPr>
            <w:rFonts w:ascii="Arial" w:hAnsi="Arial" w:cs="Arial"/>
            <w:noProof/>
            <w:webHidden/>
            <w:sz w:val="24"/>
            <w:szCs w:val="24"/>
          </w:rPr>
          <w:fldChar w:fldCharType="separate"/>
        </w:r>
        <w:r w:rsidR="00B950D8" w:rsidRPr="00D55730">
          <w:rPr>
            <w:rFonts w:ascii="Arial" w:hAnsi="Arial" w:cs="Arial"/>
            <w:noProof/>
            <w:webHidden/>
            <w:sz w:val="24"/>
            <w:szCs w:val="24"/>
          </w:rPr>
          <w:t>4</w:t>
        </w:r>
        <w:r w:rsidR="00B950D8" w:rsidRPr="00D55730">
          <w:rPr>
            <w:rFonts w:ascii="Arial" w:hAnsi="Arial" w:cs="Arial"/>
            <w:noProof/>
            <w:webHidden/>
            <w:sz w:val="24"/>
            <w:szCs w:val="24"/>
          </w:rPr>
          <w:fldChar w:fldCharType="end"/>
        </w:r>
      </w:hyperlink>
    </w:p>
    <w:p w14:paraId="7351D865" w14:textId="77777777" w:rsidR="00B950D8" w:rsidRPr="00D55730" w:rsidRDefault="00221D50">
      <w:pPr>
        <w:pStyle w:val="TOC2"/>
        <w:tabs>
          <w:tab w:val="right" w:leader="dot" w:pos="9339"/>
        </w:tabs>
        <w:rPr>
          <w:rFonts w:ascii="Arial" w:eastAsiaTheme="minorEastAsia" w:hAnsi="Arial" w:cs="Arial"/>
          <w:smallCaps w:val="0"/>
          <w:noProof/>
          <w:kern w:val="0"/>
          <w:sz w:val="24"/>
          <w:szCs w:val="24"/>
          <w:lang w:val="en-AU" w:eastAsia="en-AU"/>
        </w:rPr>
      </w:pPr>
      <w:hyperlink w:anchor="_Toc21416507" w:history="1">
        <w:r w:rsidR="00B950D8" w:rsidRPr="00D55730">
          <w:rPr>
            <w:rStyle w:val="Hyperlink"/>
            <w:rFonts w:ascii="Arial" w:hAnsi="Arial" w:cs="Arial"/>
            <w:noProof/>
            <w:sz w:val="24"/>
            <w:szCs w:val="24"/>
          </w:rPr>
          <w:t>Introduction</w:t>
        </w:r>
        <w:r w:rsidR="00B950D8" w:rsidRPr="00D55730">
          <w:rPr>
            <w:rFonts w:ascii="Arial" w:hAnsi="Arial" w:cs="Arial"/>
            <w:noProof/>
            <w:webHidden/>
            <w:sz w:val="24"/>
            <w:szCs w:val="24"/>
          </w:rPr>
          <w:tab/>
        </w:r>
        <w:r w:rsidR="00B950D8" w:rsidRPr="00D55730">
          <w:rPr>
            <w:rFonts w:ascii="Arial" w:hAnsi="Arial" w:cs="Arial"/>
            <w:noProof/>
            <w:webHidden/>
            <w:sz w:val="24"/>
            <w:szCs w:val="24"/>
          </w:rPr>
          <w:fldChar w:fldCharType="begin"/>
        </w:r>
        <w:r w:rsidR="00B950D8" w:rsidRPr="00D55730">
          <w:rPr>
            <w:rFonts w:ascii="Arial" w:hAnsi="Arial" w:cs="Arial"/>
            <w:noProof/>
            <w:webHidden/>
            <w:sz w:val="24"/>
            <w:szCs w:val="24"/>
          </w:rPr>
          <w:instrText xml:space="preserve"> PAGEREF _Toc21416507 \h </w:instrText>
        </w:r>
        <w:r w:rsidR="00B950D8" w:rsidRPr="00D55730">
          <w:rPr>
            <w:rFonts w:ascii="Arial" w:hAnsi="Arial" w:cs="Arial"/>
            <w:noProof/>
            <w:webHidden/>
            <w:sz w:val="24"/>
            <w:szCs w:val="24"/>
          </w:rPr>
        </w:r>
        <w:r w:rsidR="00B950D8" w:rsidRPr="00D55730">
          <w:rPr>
            <w:rFonts w:ascii="Arial" w:hAnsi="Arial" w:cs="Arial"/>
            <w:noProof/>
            <w:webHidden/>
            <w:sz w:val="24"/>
            <w:szCs w:val="24"/>
          </w:rPr>
          <w:fldChar w:fldCharType="separate"/>
        </w:r>
        <w:r w:rsidR="00B950D8" w:rsidRPr="00D55730">
          <w:rPr>
            <w:rFonts w:ascii="Arial" w:hAnsi="Arial" w:cs="Arial"/>
            <w:noProof/>
            <w:webHidden/>
            <w:sz w:val="24"/>
            <w:szCs w:val="24"/>
          </w:rPr>
          <w:t>5</w:t>
        </w:r>
        <w:r w:rsidR="00B950D8" w:rsidRPr="00D55730">
          <w:rPr>
            <w:rFonts w:ascii="Arial" w:hAnsi="Arial" w:cs="Arial"/>
            <w:noProof/>
            <w:webHidden/>
            <w:sz w:val="24"/>
            <w:szCs w:val="24"/>
          </w:rPr>
          <w:fldChar w:fldCharType="end"/>
        </w:r>
      </w:hyperlink>
    </w:p>
    <w:p w14:paraId="25E77F9F" w14:textId="77777777" w:rsidR="00B950D8" w:rsidRPr="00D55730" w:rsidRDefault="00221D50">
      <w:pPr>
        <w:pStyle w:val="TOC2"/>
        <w:tabs>
          <w:tab w:val="right" w:leader="dot" w:pos="9339"/>
        </w:tabs>
        <w:rPr>
          <w:rFonts w:ascii="Arial" w:eastAsiaTheme="minorEastAsia" w:hAnsi="Arial" w:cs="Arial"/>
          <w:smallCaps w:val="0"/>
          <w:noProof/>
          <w:kern w:val="0"/>
          <w:sz w:val="24"/>
          <w:szCs w:val="24"/>
          <w:lang w:val="en-AU" w:eastAsia="en-AU"/>
        </w:rPr>
      </w:pPr>
      <w:hyperlink w:anchor="_Toc21416508" w:history="1">
        <w:r w:rsidR="00B950D8" w:rsidRPr="00D55730">
          <w:rPr>
            <w:rStyle w:val="Hyperlink"/>
            <w:rFonts w:ascii="Arial" w:hAnsi="Arial" w:cs="Arial"/>
            <w:noProof/>
            <w:sz w:val="24"/>
            <w:szCs w:val="24"/>
          </w:rPr>
          <w:t>The Inadequacy of Newstart</w:t>
        </w:r>
        <w:r w:rsidR="00B950D8" w:rsidRPr="00D55730">
          <w:rPr>
            <w:rFonts w:ascii="Arial" w:hAnsi="Arial" w:cs="Arial"/>
            <w:noProof/>
            <w:webHidden/>
            <w:sz w:val="24"/>
            <w:szCs w:val="24"/>
          </w:rPr>
          <w:tab/>
        </w:r>
        <w:r w:rsidR="00B950D8" w:rsidRPr="00D55730">
          <w:rPr>
            <w:rFonts w:ascii="Arial" w:hAnsi="Arial" w:cs="Arial"/>
            <w:noProof/>
            <w:webHidden/>
            <w:sz w:val="24"/>
            <w:szCs w:val="24"/>
          </w:rPr>
          <w:fldChar w:fldCharType="begin"/>
        </w:r>
        <w:r w:rsidR="00B950D8" w:rsidRPr="00D55730">
          <w:rPr>
            <w:rFonts w:ascii="Arial" w:hAnsi="Arial" w:cs="Arial"/>
            <w:noProof/>
            <w:webHidden/>
            <w:sz w:val="24"/>
            <w:szCs w:val="24"/>
          </w:rPr>
          <w:instrText xml:space="preserve"> PAGEREF _Toc21416508 \h </w:instrText>
        </w:r>
        <w:r w:rsidR="00B950D8" w:rsidRPr="00D55730">
          <w:rPr>
            <w:rFonts w:ascii="Arial" w:hAnsi="Arial" w:cs="Arial"/>
            <w:noProof/>
            <w:webHidden/>
            <w:sz w:val="24"/>
            <w:szCs w:val="24"/>
          </w:rPr>
        </w:r>
        <w:r w:rsidR="00B950D8" w:rsidRPr="00D55730">
          <w:rPr>
            <w:rFonts w:ascii="Arial" w:hAnsi="Arial" w:cs="Arial"/>
            <w:noProof/>
            <w:webHidden/>
            <w:sz w:val="24"/>
            <w:szCs w:val="24"/>
          </w:rPr>
          <w:fldChar w:fldCharType="separate"/>
        </w:r>
        <w:r w:rsidR="00B950D8" w:rsidRPr="00D55730">
          <w:rPr>
            <w:rFonts w:ascii="Arial" w:hAnsi="Arial" w:cs="Arial"/>
            <w:noProof/>
            <w:webHidden/>
            <w:sz w:val="24"/>
            <w:szCs w:val="24"/>
          </w:rPr>
          <w:t>7</w:t>
        </w:r>
        <w:r w:rsidR="00B950D8" w:rsidRPr="00D55730">
          <w:rPr>
            <w:rFonts w:ascii="Arial" w:hAnsi="Arial" w:cs="Arial"/>
            <w:noProof/>
            <w:webHidden/>
            <w:sz w:val="24"/>
            <w:szCs w:val="24"/>
          </w:rPr>
          <w:fldChar w:fldCharType="end"/>
        </w:r>
      </w:hyperlink>
    </w:p>
    <w:p w14:paraId="3D17C403" w14:textId="77777777" w:rsidR="00B950D8" w:rsidRPr="00D55730" w:rsidRDefault="00221D50">
      <w:pPr>
        <w:pStyle w:val="TOC2"/>
        <w:tabs>
          <w:tab w:val="right" w:leader="dot" w:pos="9339"/>
        </w:tabs>
        <w:rPr>
          <w:rFonts w:ascii="Arial" w:eastAsiaTheme="minorEastAsia" w:hAnsi="Arial" w:cs="Arial"/>
          <w:smallCaps w:val="0"/>
          <w:noProof/>
          <w:kern w:val="0"/>
          <w:sz w:val="24"/>
          <w:szCs w:val="24"/>
          <w:lang w:val="en-AU" w:eastAsia="en-AU"/>
        </w:rPr>
      </w:pPr>
      <w:hyperlink w:anchor="_Toc21416509" w:history="1">
        <w:r w:rsidR="00B950D8" w:rsidRPr="00D55730">
          <w:rPr>
            <w:rStyle w:val="Hyperlink"/>
            <w:rFonts w:ascii="Arial" w:hAnsi="Arial" w:cs="Arial"/>
            <w:noProof/>
            <w:sz w:val="24"/>
            <w:szCs w:val="24"/>
          </w:rPr>
          <w:t>Increase of PwD on Newstart from DSP reforms</w:t>
        </w:r>
        <w:r w:rsidR="00B950D8" w:rsidRPr="00D55730">
          <w:rPr>
            <w:rFonts w:ascii="Arial" w:hAnsi="Arial" w:cs="Arial"/>
            <w:noProof/>
            <w:webHidden/>
            <w:sz w:val="24"/>
            <w:szCs w:val="24"/>
          </w:rPr>
          <w:tab/>
        </w:r>
        <w:r w:rsidR="00B950D8" w:rsidRPr="00D55730">
          <w:rPr>
            <w:rFonts w:ascii="Arial" w:hAnsi="Arial" w:cs="Arial"/>
            <w:noProof/>
            <w:webHidden/>
            <w:sz w:val="24"/>
            <w:szCs w:val="24"/>
          </w:rPr>
          <w:fldChar w:fldCharType="begin"/>
        </w:r>
        <w:r w:rsidR="00B950D8" w:rsidRPr="00D55730">
          <w:rPr>
            <w:rFonts w:ascii="Arial" w:hAnsi="Arial" w:cs="Arial"/>
            <w:noProof/>
            <w:webHidden/>
            <w:sz w:val="24"/>
            <w:szCs w:val="24"/>
          </w:rPr>
          <w:instrText xml:space="preserve"> PAGEREF _Toc21416509 \h </w:instrText>
        </w:r>
        <w:r w:rsidR="00B950D8" w:rsidRPr="00D55730">
          <w:rPr>
            <w:rFonts w:ascii="Arial" w:hAnsi="Arial" w:cs="Arial"/>
            <w:noProof/>
            <w:webHidden/>
            <w:sz w:val="24"/>
            <w:szCs w:val="24"/>
          </w:rPr>
        </w:r>
        <w:r w:rsidR="00B950D8" w:rsidRPr="00D55730">
          <w:rPr>
            <w:rFonts w:ascii="Arial" w:hAnsi="Arial" w:cs="Arial"/>
            <w:noProof/>
            <w:webHidden/>
            <w:sz w:val="24"/>
            <w:szCs w:val="24"/>
          </w:rPr>
          <w:fldChar w:fldCharType="separate"/>
        </w:r>
        <w:r w:rsidR="00B950D8" w:rsidRPr="00D55730">
          <w:rPr>
            <w:rFonts w:ascii="Arial" w:hAnsi="Arial" w:cs="Arial"/>
            <w:noProof/>
            <w:webHidden/>
            <w:sz w:val="24"/>
            <w:szCs w:val="24"/>
          </w:rPr>
          <w:t>8</w:t>
        </w:r>
        <w:r w:rsidR="00B950D8" w:rsidRPr="00D55730">
          <w:rPr>
            <w:rFonts w:ascii="Arial" w:hAnsi="Arial" w:cs="Arial"/>
            <w:noProof/>
            <w:webHidden/>
            <w:sz w:val="24"/>
            <w:szCs w:val="24"/>
          </w:rPr>
          <w:fldChar w:fldCharType="end"/>
        </w:r>
      </w:hyperlink>
    </w:p>
    <w:p w14:paraId="53C78B58" w14:textId="77777777" w:rsidR="00B950D8" w:rsidRPr="00D55730" w:rsidRDefault="00221D50">
      <w:pPr>
        <w:pStyle w:val="TOC2"/>
        <w:tabs>
          <w:tab w:val="right" w:leader="dot" w:pos="9339"/>
        </w:tabs>
        <w:rPr>
          <w:rFonts w:ascii="Arial" w:eastAsiaTheme="minorEastAsia" w:hAnsi="Arial" w:cs="Arial"/>
          <w:smallCaps w:val="0"/>
          <w:noProof/>
          <w:kern w:val="0"/>
          <w:sz w:val="24"/>
          <w:szCs w:val="24"/>
          <w:lang w:val="en-AU" w:eastAsia="en-AU"/>
        </w:rPr>
      </w:pPr>
      <w:hyperlink w:anchor="_Toc21416510" w:history="1">
        <w:r w:rsidR="00B950D8" w:rsidRPr="00D55730">
          <w:rPr>
            <w:rStyle w:val="Hyperlink"/>
            <w:rFonts w:ascii="Arial" w:hAnsi="Arial" w:cs="Arial"/>
            <w:noProof/>
            <w:sz w:val="24"/>
            <w:szCs w:val="24"/>
          </w:rPr>
          <w:t>Impairment</w:t>
        </w:r>
        <w:r w:rsidR="00B950D8" w:rsidRPr="00D55730">
          <w:rPr>
            <w:rFonts w:ascii="Arial" w:hAnsi="Arial" w:cs="Arial"/>
            <w:noProof/>
            <w:webHidden/>
            <w:sz w:val="24"/>
            <w:szCs w:val="24"/>
          </w:rPr>
          <w:tab/>
        </w:r>
        <w:r w:rsidR="00B950D8" w:rsidRPr="00D55730">
          <w:rPr>
            <w:rFonts w:ascii="Arial" w:hAnsi="Arial" w:cs="Arial"/>
            <w:noProof/>
            <w:webHidden/>
            <w:sz w:val="24"/>
            <w:szCs w:val="24"/>
          </w:rPr>
          <w:fldChar w:fldCharType="begin"/>
        </w:r>
        <w:r w:rsidR="00B950D8" w:rsidRPr="00D55730">
          <w:rPr>
            <w:rFonts w:ascii="Arial" w:hAnsi="Arial" w:cs="Arial"/>
            <w:noProof/>
            <w:webHidden/>
            <w:sz w:val="24"/>
            <w:szCs w:val="24"/>
          </w:rPr>
          <w:instrText xml:space="preserve"> PAGEREF _Toc21416510 \h </w:instrText>
        </w:r>
        <w:r w:rsidR="00B950D8" w:rsidRPr="00D55730">
          <w:rPr>
            <w:rFonts w:ascii="Arial" w:hAnsi="Arial" w:cs="Arial"/>
            <w:noProof/>
            <w:webHidden/>
            <w:sz w:val="24"/>
            <w:szCs w:val="24"/>
          </w:rPr>
        </w:r>
        <w:r w:rsidR="00B950D8" w:rsidRPr="00D55730">
          <w:rPr>
            <w:rFonts w:ascii="Arial" w:hAnsi="Arial" w:cs="Arial"/>
            <w:noProof/>
            <w:webHidden/>
            <w:sz w:val="24"/>
            <w:szCs w:val="24"/>
          </w:rPr>
          <w:fldChar w:fldCharType="separate"/>
        </w:r>
        <w:r w:rsidR="00B950D8" w:rsidRPr="00D55730">
          <w:rPr>
            <w:rFonts w:ascii="Arial" w:hAnsi="Arial" w:cs="Arial"/>
            <w:noProof/>
            <w:webHidden/>
            <w:sz w:val="24"/>
            <w:szCs w:val="24"/>
          </w:rPr>
          <w:t>9</w:t>
        </w:r>
        <w:r w:rsidR="00B950D8" w:rsidRPr="00D55730">
          <w:rPr>
            <w:rFonts w:ascii="Arial" w:hAnsi="Arial" w:cs="Arial"/>
            <w:noProof/>
            <w:webHidden/>
            <w:sz w:val="24"/>
            <w:szCs w:val="24"/>
          </w:rPr>
          <w:fldChar w:fldCharType="end"/>
        </w:r>
      </w:hyperlink>
    </w:p>
    <w:p w14:paraId="29398A28" w14:textId="77777777" w:rsidR="00B950D8" w:rsidRPr="00D55730" w:rsidRDefault="00221D50">
      <w:pPr>
        <w:pStyle w:val="TOC2"/>
        <w:tabs>
          <w:tab w:val="right" w:leader="dot" w:pos="9339"/>
        </w:tabs>
        <w:rPr>
          <w:rFonts w:ascii="Arial" w:eastAsiaTheme="minorEastAsia" w:hAnsi="Arial" w:cs="Arial"/>
          <w:smallCaps w:val="0"/>
          <w:noProof/>
          <w:kern w:val="0"/>
          <w:sz w:val="24"/>
          <w:szCs w:val="24"/>
          <w:lang w:val="en-AU" w:eastAsia="en-AU"/>
        </w:rPr>
      </w:pPr>
      <w:hyperlink w:anchor="_Toc21416511" w:history="1">
        <w:r w:rsidR="00B950D8" w:rsidRPr="00D55730">
          <w:rPr>
            <w:rStyle w:val="Hyperlink"/>
            <w:rFonts w:ascii="Arial" w:hAnsi="Arial" w:cs="Arial"/>
            <w:noProof/>
            <w:sz w:val="24"/>
            <w:szCs w:val="24"/>
          </w:rPr>
          <w:t>Partial Capacity to Work and Newstart</w:t>
        </w:r>
        <w:r w:rsidR="00B950D8" w:rsidRPr="00D55730">
          <w:rPr>
            <w:rFonts w:ascii="Arial" w:hAnsi="Arial" w:cs="Arial"/>
            <w:noProof/>
            <w:webHidden/>
            <w:sz w:val="24"/>
            <w:szCs w:val="24"/>
          </w:rPr>
          <w:tab/>
        </w:r>
        <w:r w:rsidR="00B950D8" w:rsidRPr="00D55730">
          <w:rPr>
            <w:rFonts w:ascii="Arial" w:hAnsi="Arial" w:cs="Arial"/>
            <w:noProof/>
            <w:webHidden/>
            <w:sz w:val="24"/>
            <w:szCs w:val="24"/>
          </w:rPr>
          <w:fldChar w:fldCharType="begin"/>
        </w:r>
        <w:r w:rsidR="00B950D8" w:rsidRPr="00D55730">
          <w:rPr>
            <w:rFonts w:ascii="Arial" w:hAnsi="Arial" w:cs="Arial"/>
            <w:noProof/>
            <w:webHidden/>
            <w:sz w:val="24"/>
            <w:szCs w:val="24"/>
          </w:rPr>
          <w:instrText xml:space="preserve"> PAGEREF _Toc21416511 \h </w:instrText>
        </w:r>
        <w:r w:rsidR="00B950D8" w:rsidRPr="00D55730">
          <w:rPr>
            <w:rFonts w:ascii="Arial" w:hAnsi="Arial" w:cs="Arial"/>
            <w:noProof/>
            <w:webHidden/>
            <w:sz w:val="24"/>
            <w:szCs w:val="24"/>
          </w:rPr>
        </w:r>
        <w:r w:rsidR="00B950D8" w:rsidRPr="00D55730">
          <w:rPr>
            <w:rFonts w:ascii="Arial" w:hAnsi="Arial" w:cs="Arial"/>
            <w:noProof/>
            <w:webHidden/>
            <w:sz w:val="24"/>
            <w:szCs w:val="24"/>
          </w:rPr>
          <w:fldChar w:fldCharType="separate"/>
        </w:r>
        <w:r w:rsidR="00B950D8" w:rsidRPr="00D55730">
          <w:rPr>
            <w:rFonts w:ascii="Arial" w:hAnsi="Arial" w:cs="Arial"/>
            <w:noProof/>
            <w:webHidden/>
            <w:sz w:val="24"/>
            <w:szCs w:val="24"/>
          </w:rPr>
          <w:t>11</w:t>
        </w:r>
        <w:r w:rsidR="00B950D8" w:rsidRPr="00D55730">
          <w:rPr>
            <w:rFonts w:ascii="Arial" w:hAnsi="Arial" w:cs="Arial"/>
            <w:noProof/>
            <w:webHidden/>
            <w:sz w:val="24"/>
            <w:szCs w:val="24"/>
          </w:rPr>
          <w:fldChar w:fldCharType="end"/>
        </w:r>
      </w:hyperlink>
    </w:p>
    <w:p w14:paraId="1F75FC8C" w14:textId="77777777" w:rsidR="00B950D8" w:rsidRPr="00D55730" w:rsidRDefault="00221D50">
      <w:pPr>
        <w:pStyle w:val="TOC2"/>
        <w:tabs>
          <w:tab w:val="right" w:leader="dot" w:pos="9339"/>
        </w:tabs>
        <w:rPr>
          <w:rFonts w:ascii="Arial" w:eastAsiaTheme="minorEastAsia" w:hAnsi="Arial" w:cs="Arial"/>
          <w:smallCaps w:val="0"/>
          <w:noProof/>
          <w:kern w:val="0"/>
          <w:sz w:val="24"/>
          <w:szCs w:val="24"/>
          <w:lang w:val="en-AU" w:eastAsia="en-AU"/>
        </w:rPr>
      </w:pPr>
      <w:hyperlink w:anchor="_Toc21416512" w:history="1">
        <w:r w:rsidR="00B950D8" w:rsidRPr="00D55730">
          <w:rPr>
            <w:rStyle w:val="Hyperlink"/>
            <w:rFonts w:ascii="Arial" w:hAnsi="Arial" w:cs="Arial"/>
            <w:noProof/>
            <w:sz w:val="24"/>
            <w:szCs w:val="24"/>
          </w:rPr>
          <w:t>Table.  Response to Standard of Living (SoL) indicators</w:t>
        </w:r>
        <w:r w:rsidR="00B950D8" w:rsidRPr="00D55730">
          <w:rPr>
            <w:rFonts w:ascii="Arial" w:hAnsi="Arial" w:cs="Arial"/>
            <w:noProof/>
            <w:webHidden/>
            <w:sz w:val="24"/>
            <w:szCs w:val="24"/>
          </w:rPr>
          <w:tab/>
        </w:r>
        <w:r w:rsidR="00B950D8" w:rsidRPr="00D55730">
          <w:rPr>
            <w:rFonts w:ascii="Arial" w:hAnsi="Arial" w:cs="Arial"/>
            <w:noProof/>
            <w:webHidden/>
            <w:sz w:val="24"/>
            <w:szCs w:val="24"/>
          </w:rPr>
          <w:fldChar w:fldCharType="begin"/>
        </w:r>
        <w:r w:rsidR="00B950D8" w:rsidRPr="00D55730">
          <w:rPr>
            <w:rFonts w:ascii="Arial" w:hAnsi="Arial" w:cs="Arial"/>
            <w:noProof/>
            <w:webHidden/>
            <w:sz w:val="24"/>
            <w:szCs w:val="24"/>
          </w:rPr>
          <w:instrText xml:space="preserve"> PAGEREF _Toc21416512 \h </w:instrText>
        </w:r>
        <w:r w:rsidR="00B950D8" w:rsidRPr="00D55730">
          <w:rPr>
            <w:rFonts w:ascii="Arial" w:hAnsi="Arial" w:cs="Arial"/>
            <w:noProof/>
            <w:webHidden/>
            <w:sz w:val="24"/>
            <w:szCs w:val="24"/>
          </w:rPr>
        </w:r>
        <w:r w:rsidR="00B950D8" w:rsidRPr="00D55730">
          <w:rPr>
            <w:rFonts w:ascii="Arial" w:hAnsi="Arial" w:cs="Arial"/>
            <w:noProof/>
            <w:webHidden/>
            <w:sz w:val="24"/>
            <w:szCs w:val="24"/>
          </w:rPr>
          <w:fldChar w:fldCharType="separate"/>
        </w:r>
        <w:r w:rsidR="00B950D8" w:rsidRPr="00D55730">
          <w:rPr>
            <w:rFonts w:ascii="Arial" w:hAnsi="Arial" w:cs="Arial"/>
            <w:noProof/>
            <w:webHidden/>
            <w:sz w:val="24"/>
            <w:szCs w:val="24"/>
          </w:rPr>
          <w:t>14</w:t>
        </w:r>
        <w:r w:rsidR="00B950D8" w:rsidRPr="00D55730">
          <w:rPr>
            <w:rFonts w:ascii="Arial" w:hAnsi="Arial" w:cs="Arial"/>
            <w:noProof/>
            <w:webHidden/>
            <w:sz w:val="24"/>
            <w:szCs w:val="24"/>
          </w:rPr>
          <w:fldChar w:fldCharType="end"/>
        </w:r>
      </w:hyperlink>
    </w:p>
    <w:p w14:paraId="0C663C70" w14:textId="77777777" w:rsidR="00B950D8" w:rsidRPr="00D55730" w:rsidRDefault="00221D50">
      <w:pPr>
        <w:pStyle w:val="TOC2"/>
        <w:tabs>
          <w:tab w:val="right" w:leader="dot" w:pos="9339"/>
        </w:tabs>
        <w:rPr>
          <w:rFonts w:ascii="Arial" w:eastAsiaTheme="minorEastAsia" w:hAnsi="Arial" w:cs="Arial"/>
          <w:smallCaps w:val="0"/>
          <w:noProof/>
          <w:kern w:val="0"/>
          <w:sz w:val="24"/>
          <w:szCs w:val="24"/>
          <w:lang w:val="en-AU" w:eastAsia="en-AU"/>
        </w:rPr>
      </w:pPr>
      <w:hyperlink w:anchor="_Toc21416513" w:history="1">
        <w:r w:rsidR="00B950D8" w:rsidRPr="00D55730">
          <w:rPr>
            <w:rStyle w:val="Hyperlink"/>
            <w:rFonts w:ascii="Arial" w:hAnsi="Arial" w:cs="Arial"/>
            <w:noProof/>
            <w:sz w:val="24"/>
            <w:szCs w:val="24"/>
          </w:rPr>
          <w:t>Newstart producing Financial Insecurity &amp; Hardship</w:t>
        </w:r>
        <w:r w:rsidR="00B950D8" w:rsidRPr="00D55730">
          <w:rPr>
            <w:rFonts w:ascii="Arial" w:hAnsi="Arial" w:cs="Arial"/>
            <w:noProof/>
            <w:webHidden/>
            <w:sz w:val="24"/>
            <w:szCs w:val="24"/>
          </w:rPr>
          <w:tab/>
        </w:r>
        <w:r w:rsidR="00B950D8" w:rsidRPr="00D55730">
          <w:rPr>
            <w:rFonts w:ascii="Arial" w:hAnsi="Arial" w:cs="Arial"/>
            <w:noProof/>
            <w:webHidden/>
            <w:sz w:val="24"/>
            <w:szCs w:val="24"/>
          </w:rPr>
          <w:fldChar w:fldCharType="begin"/>
        </w:r>
        <w:r w:rsidR="00B950D8" w:rsidRPr="00D55730">
          <w:rPr>
            <w:rFonts w:ascii="Arial" w:hAnsi="Arial" w:cs="Arial"/>
            <w:noProof/>
            <w:webHidden/>
            <w:sz w:val="24"/>
            <w:szCs w:val="24"/>
          </w:rPr>
          <w:instrText xml:space="preserve"> PAGEREF _Toc21416513 \h </w:instrText>
        </w:r>
        <w:r w:rsidR="00B950D8" w:rsidRPr="00D55730">
          <w:rPr>
            <w:rFonts w:ascii="Arial" w:hAnsi="Arial" w:cs="Arial"/>
            <w:noProof/>
            <w:webHidden/>
            <w:sz w:val="24"/>
            <w:szCs w:val="24"/>
          </w:rPr>
        </w:r>
        <w:r w:rsidR="00B950D8" w:rsidRPr="00D55730">
          <w:rPr>
            <w:rFonts w:ascii="Arial" w:hAnsi="Arial" w:cs="Arial"/>
            <w:noProof/>
            <w:webHidden/>
            <w:sz w:val="24"/>
            <w:szCs w:val="24"/>
          </w:rPr>
          <w:fldChar w:fldCharType="separate"/>
        </w:r>
        <w:r w:rsidR="00B950D8" w:rsidRPr="00D55730">
          <w:rPr>
            <w:rFonts w:ascii="Arial" w:hAnsi="Arial" w:cs="Arial"/>
            <w:noProof/>
            <w:webHidden/>
            <w:sz w:val="24"/>
            <w:szCs w:val="24"/>
          </w:rPr>
          <w:t>15</w:t>
        </w:r>
        <w:r w:rsidR="00B950D8" w:rsidRPr="00D55730">
          <w:rPr>
            <w:rFonts w:ascii="Arial" w:hAnsi="Arial" w:cs="Arial"/>
            <w:noProof/>
            <w:webHidden/>
            <w:sz w:val="24"/>
            <w:szCs w:val="24"/>
          </w:rPr>
          <w:fldChar w:fldCharType="end"/>
        </w:r>
      </w:hyperlink>
    </w:p>
    <w:p w14:paraId="4929434B" w14:textId="77777777" w:rsidR="00B950D8" w:rsidRPr="00D55730" w:rsidRDefault="00221D50">
      <w:pPr>
        <w:pStyle w:val="TOC2"/>
        <w:tabs>
          <w:tab w:val="right" w:leader="dot" w:pos="9339"/>
        </w:tabs>
        <w:rPr>
          <w:rFonts w:ascii="Arial" w:eastAsiaTheme="minorEastAsia" w:hAnsi="Arial" w:cs="Arial"/>
          <w:smallCaps w:val="0"/>
          <w:noProof/>
          <w:kern w:val="0"/>
          <w:sz w:val="24"/>
          <w:szCs w:val="24"/>
          <w:lang w:val="en-AU" w:eastAsia="en-AU"/>
        </w:rPr>
      </w:pPr>
      <w:hyperlink w:anchor="_Toc21416514" w:history="1">
        <w:r w:rsidR="00B950D8" w:rsidRPr="00D55730">
          <w:rPr>
            <w:rStyle w:val="Hyperlink"/>
            <w:rFonts w:ascii="Arial" w:hAnsi="Arial" w:cs="Arial"/>
            <w:noProof/>
            <w:sz w:val="24"/>
            <w:szCs w:val="24"/>
          </w:rPr>
          <w:t>Conclusion</w:t>
        </w:r>
        <w:r w:rsidR="00B950D8" w:rsidRPr="00D55730">
          <w:rPr>
            <w:rFonts w:ascii="Arial" w:hAnsi="Arial" w:cs="Arial"/>
            <w:noProof/>
            <w:webHidden/>
            <w:sz w:val="24"/>
            <w:szCs w:val="24"/>
          </w:rPr>
          <w:tab/>
        </w:r>
        <w:r w:rsidR="00B950D8" w:rsidRPr="00D55730">
          <w:rPr>
            <w:rFonts w:ascii="Arial" w:hAnsi="Arial" w:cs="Arial"/>
            <w:noProof/>
            <w:webHidden/>
            <w:sz w:val="24"/>
            <w:szCs w:val="24"/>
          </w:rPr>
          <w:fldChar w:fldCharType="begin"/>
        </w:r>
        <w:r w:rsidR="00B950D8" w:rsidRPr="00D55730">
          <w:rPr>
            <w:rFonts w:ascii="Arial" w:hAnsi="Arial" w:cs="Arial"/>
            <w:noProof/>
            <w:webHidden/>
            <w:sz w:val="24"/>
            <w:szCs w:val="24"/>
          </w:rPr>
          <w:instrText xml:space="preserve"> PAGEREF _Toc21416514 \h </w:instrText>
        </w:r>
        <w:r w:rsidR="00B950D8" w:rsidRPr="00D55730">
          <w:rPr>
            <w:rFonts w:ascii="Arial" w:hAnsi="Arial" w:cs="Arial"/>
            <w:noProof/>
            <w:webHidden/>
            <w:sz w:val="24"/>
            <w:szCs w:val="24"/>
          </w:rPr>
        </w:r>
        <w:r w:rsidR="00B950D8" w:rsidRPr="00D55730">
          <w:rPr>
            <w:rFonts w:ascii="Arial" w:hAnsi="Arial" w:cs="Arial"/>
            <w:noProof/>
            <w:webHidden/>
            <w:sz w:val="24"/>
            <w:szCs w:val="24"/>
          </w:rPr>
          <w:fldChar w:fldCharType="separate"/>
        </w:r>
        <w:r w:rsidR="00B950D8" w:rsidRPr="00D55730">
          <w:rPr>
            <w:rFonts w:ascii="Arial" w:hAnsi="Arial" w:cs="Arial"/>
            <w:noProof/>
            <w:webHidden/>
            <w:sz w:val="24"/>
            <w:szCs w:val="24"/>
          </w:rPr>
          <w:t>16</w:t>
        </w:r>
        <w:r w:rsidR="00B950D8" w:rsidRPr="00D55730">
          <w:rPr>
            <w:rFonts w:ascii="Arial" w:hAnsi="Arial" w:cs="Arial"/>
            <w:noProof/>
            <w:webHidden/>
            <w:sz w:val="24"/>
            <w:szCs w:val="24"/>
          </w:rPr>
          <w:fldChar w:fldCharType="end"/>
        </w:r>
      </w:hyperlink>
    </w:p>
    <w:p w14:paraId="4F076D56" w14:textId="77777777" w:rsidR="00B950D8" w:rsidRPr="00D55730" w:rsidRDefault="00221D50">
      <w:pPr>
        <w:pStyle w:val="TOC2"/>
        <w:tabs>
          <w:tab w:val="right" w:leader="dot" w:pos="9339"/>
        </w:tabs>
        <w:rPr>
          <w:rFonts w:ascii="Arial" w:eastAsiaTheme="minorEastAsia" w:hAnsi="Arial" w:cs="Arial"/>
          <w:smallCaps w:val="0"/>
          <w:noProof/>
          <w:kern w:val="0"/>
          <w:sz w:val="24"/>
          <w:szCs w:val="24"/>
          <w:lang w:val="en-AU" w:eastAsia="en-AU"/>
        </w:rPr>
      </w:pPr>
      <w:hyperlink w:anchor="_Toc21416515" w:history="1">
        <w:r w:rsidR="00B950D8" w:rsidRPr="00D55730">
          <w:rPr>
            <w:rStyle w:val="Hyperlink"/>
            <w:rFonts w:ascii="Arial" w:hAnsi="Arial" w:cs="Arial"/>
            <w:noProof/>
            <w:sz w:val="24"/>
            <w:szCs w:val="24"/>
          </w:rPr>
          <w:t>Recommendations</w:t>
        </w:r>
        <w:r w:rsidR="00B950D8" w:rsidRPr="00D55730">
          <w:rPr>
            <w:rFonts w:ascii="Arial" w:hAnsi="Arial" w:cs="Arial"/>
            <w:noProof/>
            <w:webHidden/>
            <w:sz w:val="24"/>
            <w:szCs w:val="24"/>
          </w:rPr>
          <w:tab/>
        </w:r>
        <w:r w:rsidR="00B950D8" w:rsidRPr="00D55730">
          <w:rPr>
            <w:rFonts w:ascii="Arial" w:hAnsi="Arial" w:cs="Arial"/>
            <w:noProof/>
            <w:webHidden/>
            <w:sz w:val="24"/>
            <w:szCs w:val="24"/>
          </w:rPr>
          <w:fldChar w:fldCharType="begin"/>
        </w:r>
        <w:r w:rsidR="00B950D8" w:rsidRPr="00D55730">
          <w:rPr>
            <w:rFonts w:ascii="Arial" w:hAnsi="Arial" w:cs="Arial"/>
            <w:noProof/>
            <w:webHidden/>
            <w:sz w:val="24"/>
            <w:szCs w:val="24"/>
          </w:rPr>
          <w:instrText xml:space="preserve"> PAGEREF _Toc21416515 \h </w:instrText>
        </w:r>
        <w:r w:rsidR="00B950D8" w:rsidRPr="00D55730">
          <w:rPr>
            <w:rFonts w:ascii="Arial" w:hAnsi="Arial" w:cs="Arial"/>
            <w:noProof/>
            <w:webHidden/>
            <w:sz w:val="24"/>
            <w:szCs w:val="24"/>
          </w:rPr>
        </w:r>
        <w:r w:rsidR="00B950D8" w:rsidRPr="00D55730">
          <w:rPr>
            <w:rFonts w:ascii="Arial" w:hAnsi="Arial" w:cs="Arial"/>
            <w:noProof/>
            <w:webHidden/>
            <w:sz w:val="24"/>
            <w:szCs w:val="24"/>
          </w:rPr>
          <w:fldChar w:fldCharType="separate"/>
        </w:r>
        <w:r w:rsidR="00B950D8" w:rsidRPr="00D55730">
          <w:rPr>
            <w:rFonts w:ascii="Arial" w:hAnsi="Arial" w:cs="Arial"/>
            <w:noProof/>
            <w:webHidden/>
            <w:sz w:val="24"/>
            <w:szCs w:val="24"/>
          </w:rPr>
          <w:t>17</w:t>
        </w:r>
        <w:r w:rsidR="00B950D8" w:rsidRPr="00D55730">
          <w:rPr>
            <w:rFonts w:ascii="Arial" w:hAnsi="Arial" w:cs="Arial"/>
            <w:noProof/>
            <w:webHidden/>
            <w:sz w:val="24"/>
            <w:szCs w:val="24"/>
          </w:rPr>
          <w:fldChar w:fldCharType="end"/>
        </w:r>
      </w:hyperlink>
    </w:p>
    <w:p w14:paraId="01CEA878" w14:textId="63FFFC28" w:rsidR="009F1A6D" w:rsidRPr="00651905" w:rsidRDefault="00162A08" w:rsidP="00B950D8">
      <w:pPr>
        <w:pStyle w:val="Heading2"/>
        <w:spacing w:after="120"/>
      </w:pPr>
      <w:r w:rsidRPr="00162A08">
        <w:rPr>
          <w:rFonts w:eastAsia="Cambria" w:cs="Arial"/>
          <w:b w:val="0"/>
          <w:bCs w:val="0"/>
          <w:smallCaps/>
          <w:color w:val="auto"/>
          <w:kern w:val="24"/>
          <w:sz w:val="24"/>
          <w:szCs w:val="24"/>
          <w:lang w:val="en-US"/>
        </w:rPr>
        <w:lastRenderedPageBreak/>
        <w:fldChar w:fldCharType="end"/>
      </w:r>
      <w:bookmarkStart w:id="3" w:name="_Toc254013"/>
      <w:bookmarkStart w:id="4" w:name="_Toc21416505"/>
      <w:r w:rsidR="00BB224D">
        <w:t>A</w:t>
      </w:r>
      <w:r w:rsidR="00045D81">
        <w:t>bout</w:t>
      </w:r>
      <w:r w:rsidR="0038046D">
        <w:t xml:space="preserve"> AFDO</w:t>
      </w:r>
      <w:bookmarkEnd w:id="3"/>
      <w:bookmarkEnd w:id="4"/>
      <w:r w:rsidR="0038046D">
        <w:t xml:space="preserve"> </w:t>
      </w:r>
    </w:p>
    <w:p w14:paraId="05356BAC" w14:textId="5AE9770D" w:rsidR="002F2235" w:rsidRPr="00B950D8" w:rsidRDefault="002F2235" w:rsidP="00B950D8">
      <w:pPr>
        <w:spacing w:after="120"/>
      </w:pPr>
      <w:r>
        <w:t>Since 2003, the Australian Federation of Disability Organisations (AFDO), a Disabled Peoples Or</w:t>
      </w:r>
      <w:r w:rsidR="00B950D8">
        <w:t xml:space="preserve">ganisation (DPO) and </w:t>
      </w:r>
      <w:r>
        <w:t xml:space="preserve">Disability Representative Organisation (DRO), has been the recognised </w:t>
      </w:r>
      <w:r w:rsidR="00B950D8">
        <w:t xml:space="preserve">cross-disability </w:t>
      </w:r>
      <w:r>
        <w:t>national peak organisation in the disability sector, along with its disability specific members, representing people with disability</w:t>
      </w:r>
      <w:r w:rsidR="00B950D8">
        <w:t xml:space="preserve"> and their families</w:t>
      </w:r>
      <w:r>
        <w:t>.</w:t>
      </w:r>
    </w:p>
    <w:p w14:paraId="6D705AE8" w14:textId="77777777" w:rsidR="002F2235" w:rsidRDefault="002F2235" w:rsidP="002F2235">
      <w:pPr>
        <w:spacing w:after="0"/>
      </w:pPr>
      <w:r>
        <w:t xml:space="preserve">AFDO’s mission is to champion the rights of people with disability in Australia and support them to participate fully in Australian life. </w:t>
      </w:r>
    </w:p>
    <w:p w14:paraId="0A5C63AE" w14:textId="77777777" w:rsidR="002F2235" w:rsidRPr="00B950D8" w:rsidRDefault="002F2235" w:rsidP="002F2235">
      <w:pPr>
        <w:spacing w:after="0"/>
        <w:rPr>
          <w:sz w:val="16"/>
        </w:rPr>
      </w:pPr>
    </w:p>
    <w:p w14:paraId="1568C52F" w14:textId="77777777" w:rsidR="002F2235" w:rsidRDefault="002F2235" w:rsidP="002F2235">
      <w:pPr>
        <w:spacing w:after="0"/>
      </w:pPr>
      <w:r>
        <w:t>As one of the three founding members of the National Disability and Carer Alliance, AFDO played a key role in the campaign for the introduction of the National Disability Insurance Scheme (NDIS) through its “Every Australian Counts” campaign.  As the NDIS has moved through the trial phase and begun the transition to full scheme, AFDO and its members have continued to work constructively with the National Disability Insurance Agency (NDIA) as well as Commonwealth, State and Territory governments to provide critical feedback and address implementation issues as they arise.</w:t>
      </w:r>
    </w:p>
    <w:p w14:paraId="6F614DAD" w14:textId="77777777" w:rsidR="002F2235" w:rsidRPr="00B950D8" w:rsidRDefault="002F2235" w:rsidP="002F2235">
      <w:pPr>
        <w:spacing w:after="0"/>
        <w:rPr>
          <w:sz w:val="16"/>
        </w:rPr>
      </w:pPr>
    </w:p>
    <w:p w14:paraId="6A21F1D0" w14:textId="02EDC922" w:rsidR="003354EC" w:rsidRDefault="002F2235" w:rsidP="002F2235">
      <w:pPr>
        <w:spacing w:after="0"/>
      </w:pPr>
      <w:r>
        <w:t>Our member organisations represent disability specific communities with a total reach of over 1,700,000 Australians.</w:t>
      </w:r>
    </w:p>
    <w:p w14:paraId="7749C463" w14:textId="77777777" w:rsidR="002F2235" w:rsidRPr="00B950D8" w:rsidRDefault="002F2235" w:rsidP="002F2235">
      <w:pPr>
        <w:spacing w:after="0"/>
        <w:rPr>
          <w:sz w:val="16"/>
        </w:rPr>
      </w:pPr>
    </w:p>
    <w:p w14:paraId="7C4840DE" w14:textId="0FDFAB3C" w:rsidR="008278AF" w:rsidRPr="003354EC" w:rsidRDefault="0038046D" w:rsidP="00D17E19">
      <w:pPr>
        <w:spacing w:after="0" w:line="240" w:lineRule="auto"/>
        <w:rPr>
          <w:b/>
        </w:rPr>
      </w:pPr>
      <w:r w:rsidRPr="003354EC">
        <w:rPr>
          <w:b/>
        </w:rPr>
        <w:t>AFDO’s members include:</w:t>
      </w:r>
    </w:p>
    <w:p w14:paraId="3A4AE7EB" w14:textId="77777777" w:rsidR="00D17E19" w:rsidRPr="00D17E19" w:rsidRDefault="00D17E19" w:rsidP="00D17E19">
      <w:pPr>
        <w:spacing w:after="0" w:line="240" w:lineRule="auto"/>
        <w:rPr>
          <w:b/>
          <w:sz w:val="6"/>
        </w:rPr>
        <w:sectPr w:rsidR="00D17E19" w:rsidRPr="00D17E19" w:rsidSect="00816F20">
          <w:headerReference w:type="default" r:id="rId9"/>
          <w:footerReference w:type="default" r:id="rId10"/>
          <w:headerReference w:type="first" r:id="rId11"/>
          <w:footerReference w:type="first" r:id="rId12"/>
          <w:pgSz w:w="11901" w:h="16817"/>
          <w:pgMar w:top="426" w:right="1134" w:bottom="1474" w:left="1418" w:header="709" w:footer="963" w:gutter="0"/>
          <w:cols w:space="708"/>
          <w:docGrid w:linePitch="326"/>
        </w:sectPr>
      </w:pPr>
    </w:p>
    <w:p w14:paraId="22EBDAB0" w14:textId="072046C9" w:rsidR="0038046D" w:rsidRPr="003354EC" w:rsidRDefault="0038046D" w:rsidP="003354EC">
      <w:pPr>
        <w:spacing w:after="0"/>
        <w:rPr>
          <w:color w:val="000000"/>
          <w:shd w:val="clear" w:color="auto" w:fill="FFFFFF"/>
        </w:rPr>
      </w:pPr>
      <w:r w:rsidRPr="003354EC">
        <w:rPr>
          <w:color w:val="000000"/>
          <w:shd w:val="clear" w:color="auto" w:fill="FFFFFF"/>
        </w:rPr>
        <w:t>Blind Citizens Australia</w:t>
      </w:r>
    </w:p>
    <w:p w14:paraId="4D3161D0" w14:textId="77777777" w:rsidR="0038046D" w:rsidRPr="003354EC" w:rsidRDefault="0038046D" w:rsidP="003354EC">
      <w:pPr>
        <w:spacing w:after="0"/>
        <w:rPr>
          <w:color w:val="000000"/>
          <w:shd w:val="clear" w:color="auto" w:fill="FFFFFF"/>
        </w:rPr>
      </w:pPr>
      <w:r w:rsidRPr="003354EC">
        <w:rPr>
          <w:color w:val="000000"/>
          <w:shd w:val="clear" w:color="auto" w:fill="FFFFFF"/>
        </w:rPr>
        <w:t>Brain Injury Australia</w:t>
      </w:r>
    </w:p>
    <w:p w14:paraId="7A823429" w14:textId="77777777" w:rsidR="0038046D" w:rsidRPr="003354EC" w:rsidRDefault="0038046D" w:rsidP="003354EC">
      <w:pPr>
        <w:spacing w:after="0"/>
        <w:rPr>
          <w:color w:val="000000"/>
          <w:shd w:val="clear" w:color="auto" w:fill="FFFFFF"/>
        </w:rPr>
      </w:pPr>
      <w:r w:rsidRPr="003354EC">
        <w:rPr>
          <w:color w:val="000000"/>
          <w:shd w:val="clear" w:color="auto" w:fill="FFFFFF"/>
        </w:rPr>
        <w:t>Deaf Australia</w:t>
      </w:r>
    </w:p>
    <w:p w14:paraId="701813A9" w14:textId="77777777" w:rsidR="0038046D" w:rsidRPr="003354EC" w:rsidRDefault="0038046D" w:rsidP="003354EC">
      <w:pPr>
        <w:spacing w:after="0"/>
        <w:rPr>
          <w:color w:val="000000"/>
          <w:shd w:val="clear" w:color="auto" w:fill="FFFFFF"/>
        </w:rPr>
      </w:pPr>
      <w:r w:rsidRPr="003354EC">
        <w:rPr>
          <w:color w:val="000000"/>
          <w:shd w:val="clear" w:color="auto" w:fill="FFFFFF"/>
        </w:rPr>
        <w:t>Deafblind Australia</w:t>
      </w:r>
    </w:p>
    <w:p w14:paraId="66B72384" w14:textId="77777777" w:rsidR="0038046D" w:rsidRPr="003354EC" w:rsidRDefault="0038046D" w:rsidP="003354EC">
      <w:pPr>
        <w:spacing w:after="0"/>
        <w:rPr>
          <w:rFonts w:ascii="Times" w:hAnsi="Times"/>
        </w:rPr>
      </w:pPr>
      <w:r w:rsidRPr="003354EC">
        <w:rPr>
          <w:color w:val="000000"/>
          <w:shd w:val="clear" w:color="auto" w:fill="FFFFFF"/>
        </w:rPr>
        <w:t>Autism Aspergers Advocacy Australia</w:t>
      </w:r>
    </w:p>
    <w:p w14:paraId="1ADA792A" w14:textId="77777777" w:rsidR="0038046D" w:rsidRPr="003354EC" w:rsidRDefault="0038046D" w:rsidP="003354EC">
      <w:pPr>
        <w:spacing w:after="0"/>
        <w:rPr>
          <w:color w:val="000000"/>
          <w:shd w:val="clear" w:color="auto" w:fill="FFFFFF"/>
        </w:rPr>
      </w:pPr>
      <w:r w:rsidRPr="003354EC">
        <w:rPr>
          <w:color w:val="000000"/>
          <w:shd w:val="clear" w:color="auto" w:fill="FFFFFF"/>
        </w:rPr>
        <w:t>Down Syndrome Australia</w:t>
      </w:r>
    </w:p>
    <w:p w14:paraId="4A66FD8D" w14:textId="77777777" w:rsidR="0038046D" w:rsidRPr="003354EC" w:rsidRDefault="0038046D" w:rsidP="003354EC">
      <w:pPr>
        <w:spacing w:after="0"/>
        <w:rPr>
          <w:color w:val="000000"/>
          <w:shd w:val="clear" w:color="auto" w:fill="FFFFFF"/>
        </w:rPr>
      </w:pPr>
      <w:r w:rsidRPr="003354EC">
        <w:rPr>
          <w:color w:val="000000"/>
          <w:shd w:val="clear" w:color="auto" w:fill="FFFFFF"/>
        </w:rPr>
        <w:t>Physical Disability Australia</w:t>
      </w:r>
    </w:p>
    <w:p w14:paraId="6C19D406" w14:textId="77777777" w:rsidR="0038046D" w:rsidRPr="003354EC" w:rsidRDefault="0038046D" w:rsidP="003354EC">
      <w:pPr>
        <w:spacing w:after="0"/>
        <w:rPr>
          <w:color w:val="000000"/>
          <w:shd w:val="clear" w:color="auto" w:fill="FFFFFF"/>
        </w:rPr>
      </w:pPr>
      <w:r w:rsidRPr="003354EC">
        <w:rPr>
          <w:color w:val="000000"/>
          <w:shd w:val="clear" w:color="auto" w:fill="FFFFFF"/>
        </w:rPr>
        <w:t>Disability Advocacy Network Australia</w:t>
      </w:r>
    </w:p>
    <w:p w14:paraId="6E503B6E" w14:textId="38A1D7D4" w:rsidR="00607D1E" w:rsidRPr="003354EC" w:rsidRDefault="0038046D" w:rsidP="003354EC">
      <w:pPr>
        <w:spacing w:after="0"/>
        <w:rPr>
          <w:color w:val="000000"/>
          <w:shd w:val="clear" w:color="auto" w:fill="FFFFFF"/>
        </w:rPr>
      </w:pPr>
      <w:r w:rsidRPr="003354EC">
        <w:rPr>
          <w:color w:val="000000"/>
          <w:shd w:val="clear" w:color="auto" w:fill="FFFFFF"/>
        </w:rPr>
        <w:t>Disability Justice A</w:t>
      </w:r>
      <w:r w:rsidR="009F6A9C" w:rsidRPr="003354EC">
        <w:rPr>
          <w:color w:val="000000"/>
          <w:shd w:val="clear" w:color="auto" w:fill="FFFFFF"/>
        </w:rPr>
        <w:t>ustralia</w:t>
      </w:r>
    </w:p>
    <w:p w14:paraId="7E00690E" w14:textId="70CB379E" w:rsidR="008278AF" w:rsidRPr="003354EC" w:rsidRDefault="008278AF" w:rsidP="003354EC">
      <w:pPr>
        <w:spacing w:after="0"/>
        <w:rPr>
          <w:color w:val="000000"/>
          <w:shd w:val="clear" w:color="auto" w:fill="FFFFFF"/>
        </w:rPr>
      </w:pPr>
      <w:r w:rsidRPr="003354EC">
        <w:rPr>
          <w:color w:val="000000"/>
          <w:shd w:val="clear" w:color="auto" w:fill="FFFFFF"/>
        </w:rPr>
        <w:t>People with Disability WA</w:t>
      </w:r>
    </w:p>
    <w:p w14:paraId="1C9BE8D6" w14:textId="77777777" w:rsidR="0038046D" w:rsidRPr="003354EC" w:rsidRDefault="0038046D" w:rsidP="003354EC">
      <w:pPr>
        <w:spacing w:after="0"/>
        <w:rPr>
          <w:color w:val="000000"/>
          <w:shd w:val="clear" w:color="auto" w:fill="FFFFFF"/>
        </w:rPr>
      </w:pPr>
      <w:r w:rsidRPr="003354EC">
        <w:rPr>
          <w:color w:val="000000"/>
          <w:shd w:val="clear" w:color="auto" w:fill="FFFFFF"/>
        </w:rPr>
        <w:t>Disability Resources Centre</w:t>
      </w:r>
    </w:p>
    <w:p w14:paraId="70446549" w14:textId="77777777" w:rsidR="002A789C" w:rsidRPr="003354EC" w:rsidRDefault="002A789C" w:rsidP="003354EC">
      <w:pPr>
        <w:spacing w:after="0"/>
        <w:rPr>
          <w:color w:val="000000"/>
          <w:shd w:val="clear" w:color="auto" w:fill="FFFFFF"/>
        </w:rPr>
      </w:pPr>
      <w:r w:rsidRPr="003354EC">
        <w:rPr>
          <w:color w:val="000000"/>
          <w:shd w:val="clear" w:color="auto" w:fill="FFFFFF"/>
        </w:rPr>
        <w:t>Inclusion Australia (NCID)</w:t>
      </w:r>
    </w:p>
    <w:p w14:paraId="24402486" w14:textId="0AEE8FF8" w:rsidR="0038046D" w:rsidRPr="003354EC" w:rsidRDefault="005D1E2A" w:rsidP="003354EC">
      <w:pPr>
        <w:spacing w:after="0"/>
        <w:rPr>
          <w:color w:val="000000"/>
          <w:shd w:val="clear" w:color="auto" w:fill="FFFFFF"/>
        </w:rPr>
      </w:pPr>
      <w:r w:rsidRPr="003354EC">
        <w:rPr>
          <w:color w:val="000000"/>
          <w:shd w:val="clear" w:color="auto" w:fill="FFFFFF"/>
        </w:rPr>
        <w:t>People with Disabilities</w:t>
      </w:r>
      <w:r w:rsidR="0052531C" w:rsidRPr="003354EC">
        <w:rPr>
          <w:color w:val="000000"/>
          <w:shd w:val="clear" w:color="auto" w:fill="FFFFFF"/>
        </w:rPr>
        <w:t xml:space="preserve"> </w:t>
      </w:r>
      <w:r w:rsidR="0038046D" w:rsidRPr="003354EC">
        <w:rPr>
          <w:color w:val="000000"/>
          <w:shd w:val="clear" w:color="auto" w:fill="FFFFFF"/>
        </w:rPr>
        <w:t xml:space="preserve">ACT </w:t>
      </w:r>
    </w:p>
    <w:p w14:paraId="33C2339A" w14:textId="77777777" w:rsidR="003615B6" w:rsidRPr="003354EC" w:rsidRDefault="003615B6" w:rsidP="003354EC">
      <w:pPr>
        <w:spacing w:after="0"/>
        <w:rPr>
          <w:color w:val="000000"/>
          <w:shd w:val="clear" w:color="auto" w:fill="FFFFFF"/>
        </w:rPr>
      </w:pPr>
      <w:r w:rsidRPr="003354EC">
        <w:rPr>
          <w:color w:val="000000"/>
          <w:shd w:val="clear" w:color="auto" w:fill="FFFFFF"/>
        </w:rPr>
        <w:t>Women with Disabilities Victoria</w:t>
      </w:r>
    </w:p>
    <w:p w14:paraId="4BC5E6CB" w14:textId="3C42693F" w:rsidR="0038046D" w:rsidRPr="003354EC" w:rsidRDefault="0038046D" w:rsidP="003354EC">
      <w:pPr>
        <w:spacing w:after="0"/>
        <w:rPr>
          <w:color w:val="000000"/>
          <w:shd w:val="clear" w:color="auto" w:fill="FFFFFF"/>
        </w:rPr>
      </w:pPr>
      <w:r w:rsidRPr="003354EC">
        <w:rPr>
          <w:color w:val="000000"/>
          <w:shd w:val="clear" w:color="auto" w:fill="FFFFFF"/>
        </w:rPr>
        <w:t>Enhanced Lifestyles</w:t>
      </w:r>
    </w:p>
    <w:p w14:paraId="3A6902F4" w14:textId="719CD559" w:rsidR="00CC4314" w:rsidRPr="003354EC" w:rsidRDefault="00CC4314" w:rsidP="003354EC">
      <w:pPr>
        <w:spacing w:after="0"/>
        <w:rPr>
          <w:color w:val="000000"/>
          <w:shd w:val="clear" w:color="auto" w:fill="FFFFFF"/>
        </w:rPr>
      </w:pPr>
      <w:r w:rsidRPr="003354EC">
        <w:rPr>
          <w:color w:val="000000"/>
          <w:shd w:val="clear" w:color="auto" w:fill="FFFFFF"/>
        </w:rPr>
        <w:t>Deafness Forum</w:t>
      </w:r>
      <w:r w:rsidR="003365FD" w:rsidRPr="003354EC">
        <w:rPr>
          <w:color w:val="000000"/>
          <w:shd w:val="clear" w:color="auto" w:fill="FFFFFF"/>
        </w:rPr>
        <w:t xml:space="preserve"> of Australia</w:t>
      </w:r>
    </w:p>
    <w:p w14:paraId="034E051F" w14:textId="016BD93B" w:rsidR="008278AF" w:rsidRPr="003354EC" w:rsidRDefault="00EC1E5C" w:rsidP="003354EC">
      <w:pPr>
        <w:spacing w:after="0"/>
        <w:rPr>
          <w:color w:val="000000"/>
          <w:shd w:val="clear" w:color="auto" w:fill="FFFFFF"/>
        </w:rPr>
        <w:sectPr w:rsidR="008278AF" w:rsidRPr="003354EC" w:rsidSect="008278AF">
          <w:type w:val="continuous"/>
          <w:pgSz w:w="11901" w:h="16817"/>
          <w:pgMar w:top="851" w:right="1134" w:bottom="1474" w:left="1418" w:header="709" w:footer="963" w:gutter="0"/>
          <w:cols w:num="2" w:space="708"/>
          <w:titlePg/>
        </w:sectPr>
      </w:pPr>
      <w:r w:rsidRPr="003354EC">
        <w:rPr>
          <w:color w:val="000000"/>
          <w:shd w:val="clear" w:color="auto" w:fill="FFFFFF"/>
        </w:rPr>
        <w:t xml:space="preserve">Women </w:t>
      </w:r>
      <w:r w:rsidR="00D17E19" w:rsidRPr="003354EC">
        <w:rPr>
          <w:color w:val="000000"/>
          <w:shd w:val="clear" w:color="auto" w:fill="FFFFFF"/>
        </w:rPr>
        <w:t>with Disabilities ACT</w:t>
      </w:r>
    </w:p>
    <w:p w14:paraId="401B2164" w14:textId="7F94FCFE" w:rsidR="006259F7" w:rsidRDefault="00D17E19" w:rsidP="00D17E19">
      <w:pPr>
        <w:rPr>
          <w:color w:val="000000"/>
          <w:shd w:val="clear" w:color="auto" w:fill="FFFFFF"/>
        </w:rPr>
      </w:pPr>
      <w:r>
        <w:rPr>
          <w:noProof/>
          <w:color w:val="000000"/>
          <w:shd w:val="clear" w:color="auto" w:fill="FFFFFF"/>
          <w:lang w:val="en-AU" w:eastAsia="en-AU"/>
        </w:rPr>
        <w:drawing>
          <wp:inline distT="0" distB="0" distL="0" distR="0" wp14:anchorId="610EB6BC" wp14:editId="31BF59EB">
            <wp:extent cx="5849849" cy="2654300"/>
            <wp:effectExtent l="0" t="0" r="0" b="0"/>
            <wp:docPr id="1" name="Picture 1" descr="All 17 Full member logos " title="AFDO Full member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 logos together as one image.PNG"/>
                    <pic:cNvPicPr/>
                  </pic:nvPicPr>
                  <pic:blipFill>
                    <a:blip r:embed="rId13">
                      <a:extLst>
                        <a:ext uri="{28A0092B-C50C-407E-A947-70E740481C1C}">
                          <a14:useLocalDpi xmlns:a14="http://schemas.microsoft.com/office/drawing/2010/main" val="0"/>
                        </a:ext>
                      </a:extLst>
                    </a:blip>
                    <a:stretch>
                      <a:fillRect/>
                    </a:stretch>
                  </pic:blipFill>
                  <pic:spPr>
                    <a:xfrm>
                      <a:off x="0" y="0"/>
                      <a:ext cx="5849849" cy="2654300"/>
                    </a:xfrm>
                    <a:prstGeom prst="rect">
                      <a:avLst/>
                    </a:prstGeom>
                  </pic:spPr>
                </pic:pic>
              </a:graphicData>
            </a:graphic>
          </wp:inline>
        </w:drawing>
      </w:r>
    </w:p>
    <w:p w14:paraId="7E35004B" w14:textId="77777777" w:rsidR="00B950D8" w:rsidRPr="00B950D8" w:rsidRDefault="00B950D8" w:rsidP="00B950D8">
      <w:pPr>
        <w:pStyle w:val="Heading2"/>
      </w:pPr>
      <w:bookmarkStart w:id="5" w:name="_Toc21416506"/>
      <w:r w:rsidRPr="00B950D8">
        <w:t>Focus of the AFDO Submission</w:t>
      </w:r>
      <w:bookmarkEnd w:id="5"/>
      <w:r w:rsidRPr="00B950D8">
        <w:t xml:space="preserve"> </w:t>
      </w:r>
    </w:p>
    <w:p w14:paraId="4B933ED2" w14:textId="48D93728" w:rsidR="00B950D8" w:rsidRDefault="00B950D8" w:rsidP="00B950D8">
      <w:r w:rsidRPr="00B950D8">
        <w:t xml:space="preserve">Many people who would have </w:t>
      </w:r>
      <w:r>
        <w:t xml:space="preserve">been previously </w:t>
      </w:r>
      <w:r w:rsidRPr="00B950D8">
        <w:t>eligible for the DSP and</w:t>
      </w:r>
      <w:r>
        <w:t>,</w:t>
      </w:r>
      <w:r w:rsidRPr="00B950D8">
        <w:t xml:space="preserve"> who have been assessed as having a disabilit</w:t>
      </w:r>
      <w:r>
        <w:t xml:space="preserve">y by their treating doctor, </w:t>
      </w:r>
      <w:r w:rsidRPr="00B950D8">
        <w:t xml:space="preserve">are now on Newstart, </w:t>
      </w:r>
      <w:r>
        <w:t xml:space="preserve">and </w:t>
      </w:r>
      <w:r w:rsidRPr="00B950D8">
        <w:t>have had the</w:t>
      </w:r>
      <w:r>
        <w:t>ir</w:t>
      </w:r>
      <w:r w:rsidRPr="00B950D8">
        <w:t xml:space="preserve"> </w:t>
      </w:r>
      <w:r>
        <w:t xml:space="preserve">mutual </w:t>
      </w:r>
      <w:r w:rsidRPr="00B950D8">
        <w:t>obligations under Newstart</w:t>
      </w:r>
      <w:r>
        <w:t xml:space="preserve"> waived due to their disability. </w:t>
      </w:r>
      <w:r w:rsidRPr="00B950D8">
        <w:t>This group</w:t>
      </w:r>
      <w:r>
        <w:t xml:space="preserve">, numbering approximately 200,000 Australians, have also </w:t>
      </w:r>
      <w:r w:rsidRPr="00B950D8">
        <w:t>been assessed as h</w:t>
      </w:r>
      <w:r>
        <w:t xml:space="preserve">aving a partial capacity to work. </w:t>
      </w:r>
    </w:p>
    <w:p w14:paraId="79290EFD" w14:textId="5025CC1A" w:rsidR="00B950D8" w:rsidRDefault="00B950D8" w:rsidP="00B950D8">
      <w:r w:rsidRPr="00B950D8">
        <w:t>AFDO will focus in this Submission on people who have previously been eligible for the Disability Support Pension</w:t>
      </w:r>
      <w:r>
        <w:t>,</w:t>
      </w:r>
      <w:r w:rsidRPr="00B950D8">
        <w:t xml:space="preserve"> but who now</w:t>
      </w:r>
      <w:r>
        <w:t>,</w:t>
      </w:r>
      <w:r w:rsidRPr="00B950D8">
        <w:t xml:space="preserve"> no longer meet the DSP eligibility criteria</w:t>
      </w:r>
      <w:r>
        <w:t>,</w:t>
      </w:r>
      <w:r w:rsidRPr="00B950D8">
        <w:t xml:space="preserve"> and instead h</w:t>
      </w:r>
      <w:r>
        <w:t>ave been placed onto Newstart and those within this group who have then been assessed as having a partial capacity to work.</w:t>
      </w:r>
    </w:p>
    <w:p w14:paraId="25709879" w14:textId="547B0CE3" w:rsidR="00B950D8" w:rsidRDefault="00137FD6" w:rsidP="00B950D8">
      <w:r>
        <w:t xml:space="preserve">AFDO </w:t>
      </w:r>
      <w:r w:rsidR="00AB521E">
        <w:t>wishes to acknowledge</w:t>
      </w:r>
      <w:r>
        <w:t xml:space="preserve"> the </w:t>
      </w:r>
      <w:r w:rsidR="00AB521E">
        <w:t xml:space="preserve">significant </w:t>
      </w:r>
      <w:r>
        <w:t>work of the Social Security Rights Network</w:t>
      </w:r>
      <w:r w:rsidR="00AB521E">
        <w:t xml:space="preserve"> on this area, from which some of their</w:t>
      </w:r>
      <w:r>
        <w:t xml:space="preserve"> content has been drawn</w:t>
      </w:r>
      <w:r w:rsidR="00AB521E">
        <w:t>.</w:t>
      </w:r>
    </w:p>
    <w:p w14:paraId="6B961ED0" w14:textId="77777777" w:rsidR="00B950D8" w:rsidRPr="00B950D8" w:rsidRDefault="00B950D8" w:rsidP="00B950D8"/>
    <w:p w14:paraId="6ADCD511" w14:textId="77777777" w:rsidR="009F6A9C" w:rsidRDefault="009F6A9C" w:rsidP="009F6A9C">
      <w:pPr>
        <w:rPr>
          <w:lang w:val="en"/>
        </w:rPr>
      </w:pPr>
    </w:p>
    <w:p w14:paraId="34E6DE3E" w14:textId="213AB214" w:rsidR="00162A08" w:rsidRDefault="00162A08">
      <w:pPr>
        <w:spacing w:after="0" w:line="240" w:lineRule="auto"/>
        <w:rPr>
          <w:lang w:val="en"/>
        </w:rPr>
      </w:pPr>
      <w:r>
        <w:rPr>
          <w:lang w:val="en"/>
        </w:rPr>
        <w:br w:type="page"/>
      </w:r>
    </w:p>
    <w:p w14:paraId="25E221BF" w14:textId="77777777" w:rsidR="00B950D8" w:rsidRPr="00D1259C" w:rsidRDefault="00B950D8" w:rsidP="00B950D8">
      <w:pPr>
        <w:pStyle w:val="Heading2"/>
      </w:pPr>
      <w:bookmarkStart w:id="6" w:name="_Toc532371531"/>
      <w:bookmarkStart w:id="7" w:name="_Toc254014"/>
      <w:bookmarkStart w:id="8" w:name="_Toc21416507"/>
      <w:r w:rsidRPr="00D1259C">
        <w:t>Introduction</w:t>
      </w:r>
      <w:bookmarkEnd w:id="6"/>
      <w:bookmarkEnd w:id="7"/>
      <w:bookmarkEnd w:id="8"/>
    </w:p>
    <w:p w14:paraId="6F3572ED" w14:textId="77777777" w:rsidR="00B950D8" w:rsidRDefault="00B950D8" w:rsidP="00B950D8">
      <w:r w:rsidRPr="00B950D8">
        <w:t xml:space="preserve">Australia is a party to the </w:t>
      </w:r>
      <w:r w:rsidRPr="00B950D8">
        <w:rPr>
          <w:i/>
        </w:rPr>
        <w:t xml:space="preserve">International Covenant on Economic, Social and Cultural Rights </w:t>
      </w:r>
      <w:r w:rsidRPr="00B950D8">
        <w:t xml:space="preserve">(ICESCR) and the </w:t>
      </w:r>
      <w:r w:rsidRPr="00B950D8">
        <w:rPr>
          <w:i/>
          <w:iCs/>
        </w:rPr>
        <w:t xml:space="preserve">Convention on the Rights of Persons with Disabilities </w:t>
      </w:r>
      <w:r w:rsidRPr="00B950D8">
        <w:rPr>
          <w:iCs/>
        </w:rPr>
        <w:t>(CRPD)</w:t>
      </w:r>
      <w:r w:rsidRPr="00B950D8">
        <w:t xml:space="preserve">. Under articles 9 and 28 of these instruments respectively, the Australian Government is obliged to ensure that all persons with disabilities have access to social security, social protection and an adequate standard of living. </w:t>
      </w:r>
    </w:p>
    <w:p w14:paraId="7A1C0D98" w14:textId="5F4BD1A0" w:rsidR="00B950D8" w:rsidRPr="00B950D8" w:rsidRDefault="00B950D8" w:rsidP="00B950D8">
      <w:r w:rsidRPr="00B950D8">
        <w:t xml:space="preserve">Australia’s social security system is crucial to the realisation of this right, particularly through the payment of Disability Support Pension to people who cannot </w:t>
      </w:r>
      <w:r>
        <w:t>realis</w:t>
      </w:r>
      <w:r w:rsidRPr="00B950D8">
        <w:t>e economic security through paid work participation. Access to this form of income support is especially crucial due to the inaccessibility of meaningful, secure and appropriately remunerated employment for many persons with disabilities in Australia</w:t>
      </w:r>
    </w:p>
    <w:p w14:paraId="21427EED" w14:textId="77777777" w:rsidR="00B950D8" w:rsidRPr="00B950D8" w:rsidRDefault="00B950D8" w:rsidP="00B950D8">
      <w:r w:rsidRPr="00B950D8">
        <w:rPr>
          <w:lang w:val="en"/>
        </w:rPr>
        <w:t>The Disability Support Pension (DSP) is a form of financial support available to people who are deemed to be unable to support themselves through paid work due to the impact of their impairment.</w:t>
      </w:r>
      <w:r w:rsidRPr="00B950D8">
        <w:rPr>
          <w:vertAlign w:val="superscript"/>
          <w:lang w:val="en"/>
        </w:rPr>
        <w:footnoteReference w:id="1"/>
      </w:r>
    </w:p>
    <w:p w14:paraId="0F0C0392" w14:textId="77777777" w:rsidR="00B950D8" w:rsidRDefault="00B950D8" w:rsidP="00B950D8">
      <w:r w:rsidRPr="00B950D8">
        <w:t>Even more fundamentally, the provision of adequate, accessible and disability-specific social security is necessary for the reduction and alleviation of poverty and promotion of the social inclusion and participation of persons with disabilities in Australia.</w:t>
      </w:r>
      <w:r w:rsidRPr="00B950D8">
        <w:rPr>
          <w:vertAlign w:val="superscript"/>
        </w:rPr>
        <w:footnoteReference w:id="2"/>
      </w:r>
    </w:p>
    <w:p w14:paraId="37CF7EF0" w14:textId="1B7FC410" w:rsidR="00B950D8" w:rsidRPr="00B950D8" w:rsidRDefault="00B950D8" w:rsidP="00B950D8">
      <w:r w:rsidRPr="00B950D8">
        <w:t>AFDO maintains that the Newstart Allowance is completely inappropriate for people with disabili</w:t>
      </w:r>
      <w:r>
        <w:t>ty, it does not meet the requirements above, it is not adequate or disability specific and creates</w:t>
      </w:r>
      <w:r w:rsidRPr="00B950D8">
        <w:t xml:space="preserve"> further disadvantage and inequity</w:t>
      </w:r>
      <w:r>
        <w:t>.</w:t>
      </w:r>
    </w:p>
    <w:p w14:paraId="5AF1B7BA" w14:textId="35016543" w:rsidR="00B950D8" w:rsidRPr="00B950D8" w:rsidRDefault="00B950D8" w:rsidP="00B950D8">
      <w:r w:rsidRPr="00B950D8">
        <w:t xml:space="preserve">The Australian Federation of Disability Organisations (AFDO) is concerned that changes to the Disability Support Pension and wider social security system </w:t>
      </w:r>
      <w:r>
        <w:t xml:space="preserve">by successive governments </w:t>
      </w:r>
      <w:r w:rsidRPr="00B950D8">
        <w:t>in recent decades</w:t>
      </w:r>
      <w:r>
        <w:t>,</w:t>
      </w:r>
      <w:r w:rsidRPr="00B950D8">
        <w:t xml:space="preserve"> have led to the exclusion of many persons with disabilities from access to </w:t>
      </w:r>
      <w:r>
        <w:t xml:space="preserve">this </w:t>
      </w:r>
      <w:r w:rsidRPr="00B950D8">
        <w:t>essential social security.</w:t>
      </w:r>
    </w:p>
    <w:p w14:paraId="0622438C" w14:textId="5513E1BA" w:rsidR="00B950D8" w:rsidRPr="00B950D8" w:rsidRDefault="00B950D8" w:rsidP="00B950D8">
      <w:r w:rsidRPr="00B950D8">
        <w:t>AFDO is particularly concerned about people with disability who</w:t>
      </w:r>
      <w:r>
        <w:t>,</w:t>
      </w:r>
      <w:r w:rsidRPr="00B950D8">
        <w:t xml:space="preserve"> once would have been eligible for the Disability Support Pension</w:t>
      </w:r>
      <w:r>
        <w:t>,</w:t>
      </w:r>
      <w:r w:rsidRPr="00B950D8">
        <w:t xml:space="preserve"> but who now do not meet </w:t>
      </w:r>
      <w:r>
        <w:t xml:space="preserve">changing eligibility criteria, </w:t>
      </w:r>
      <w:r w:rsidRPr="00B950D8">
        <w:t xml:space="preserve">are being placed onto Newstart with its lower level of payments and higher level of obligations.  This group of people are designated to have </w:t>
      </w:r>
      <w:r>
        <w:t xml:space="preserve">a </w:t>
      </w:r>
      <w:r w:rsidRPr="00B950D8">
        <w:t>partial capacity</w:t>
      </w:r>
      <w:r>
        <w:t xml:space="preserve"> to work, yet many have their mutual obligations under Newstart removed by the Department</w:t>
      </w:r>
      <w:r w:rsidRPr="00B950D8">
        <w:t>.</w:t>
      </w:r>
    </w:p>
    <w:p w14:paraId="6B8617B1" w14:textId="719D3A39" w:rsidR="00B950D8" w:rsidRPr="00B950D8" w:rsidRDefault="00B950D8" w:rsidP="00B950D8">
      <w:r w:rsidRPr="00B950D8">
        <w:t xml:space="preserve">According to research from the National Centre for Social and Economic Modelling (NATSEM) and Monash University, people with disability </w:t>
      </w:r>
      <w:r>
        <w:t xml:space="preserve">even </w:t>
      </w:r>
      <w:r w:rsidRPr="00B950D8">
        <w:t>on the Disability Support Pension have higher living costs and poorer health outcomes than people wi</w:t>
      </w:r>
      <w:r>
        <w:t>thout disability, let alone those forced onto Newstart.</w:t>
      </w:r>
    </w:p>
    <w:p w14:paraId="1247C63B" w14:textId="2D4F8067" w:rsidR="00B950D8" w:rsidRPr="00B950D8" w:rsidRDefault="00B950D8" w:rsidP="00B950D8">
      <w:r w:rsidRPr="00B950D8">
        <w:t>Thanks to successive governments winding back eligibility</w:t>
      </w:r>
      <w:r>
        <w:t>,</w:t>
      </w:r>
      <w:r w:rsidRPr="00B950D8">
        <w:t> 200,000 people with disability are now on Newstart, despite having higher living expenses and being unable to work because of their disability.</w:t>
      </w:r>
    </w:p>
    <w:p w14:paraId="668C92AF" w14:textId="3ECE345C" w:rsidR="00B950D8" w:rsidRPr="00B950D8" w:rsidRDefault="00B950D8" w:rsidP="00B950D8">
      <w:r w:rsidRPr="00B950D8">
        <w:t>AFDO does not believe that people with disability who need to be on the DSP should instead be forced onto Newstart.  If people with disability are placed onto Newstart and are having their obligat</w:t>
      </w:r>
      <w:r>
        <w:t xml:space="preserve">ions to look for work waived </w:t>
      </w:r>
      <w:r w:rsidRPr="00B950D8">
        <w:t>because of their disabi</w:t>
      </w:r>
      <w:r>
        <w:t xml:space="preserve">lity, then they should </w:t>
      </w:r>
      <w:r w:rsidRPr="00B950D8">
        <w:t xml:space="preserve">be </w:t>
      </w:r>
      <w:r>
        <w:t xml:space="preserve">placed </w:t>
      </w:r>
      <w:r w:rsidRPr="00B950D8">
        <w:t>on the Disability Support Pension.</w:t>
      </w:r>
    </w:p>
    <w:p w14:paraId="39E427D4" w14:textId="5F6F30C9" w:rsidR="00B950D8" w:rsidRPr="00B950D8" w:rsidRDefault="00B950D8" w:rsidP="00B950D8">
      <w:r>
        <w:t>AFDO does not support the</w:t>
      </w:r>
      <w:r w:rsidRPr="00B950D8">
        <w:t xml:space="preserve"> eligibility for t</w:t>
      </w:r>
      <w:r>
        <w:t>he Disability Support Pension being</w:t>
      </w:r>
      <w:r w:rsidRPr="00B950D8">
        <w:t xml:space="preserve"> exclusively determined by a medical model </w:t>
      </w:r>
      <w:r>
        <w:t xml:space="preserve">of disability </w:t>
      </w:r>
      <w:r w:rsidRPr="00B950D8">
        <w:t>without any reference to the social model of disability</w:t>
      </w:r>
      <w:r>
        <w:t xml:space="preserve"> and the impacts of society on the individual with disability</w:t>
      </w:r>
      <w:r w:rsidRPr="00B950D8">
        <w:t>.</w:t>
      </w:r>
    </w:p>
    <w:p w14:paraId="6E5D29E4" w14:textId="5DDEFE29" w:rsidR="00B950D8" w:rsidRPr="00B950D8" w:rsidRDefault="00B950D8" w:rsidP="00B950D8">
      <w:pPr>
        <w:pStyle w:val="Heading2"/>
        <w:rPr>
          <w:sz w:val="32"/>
        </w:rPr>
      </w:pPr>
      <w:bookmarkStart w:id="9" w:name="_Toc21416508"/>
      <w:r w:rsidRPr="00B950D8">
        <w:rPr>
          <w:sz w:val="32"/>
        </w:rPr>
        <w:t xml:space="preserve">The Inadequacy of </w:t>
      </w:r>
      <w:r w:rsidR="00137FD6">
        <w:rPr>
          <w:sz w:val="32"/>
        </w:rPr>
        <w:t xml:space="preserve">the </w:t>
      </w:r>
      <w:r w:rsidRPr="00B950D8">
        <w:rPr>
          <w:sz w:val="32"/>
        </w:rPr>
        <w:t>Newstart</w:t>
      </w:r>
      <w:bookmarkEnd w:id="9"/>
      <w:r w:rsidR="00137FD6">
        <w:rPr>
          <w:sz w:val="32"/>
        </w:rPr>
        <w:t xml:space="preserve"> Allowance </w:t>
      </w:r>
    </w:p>
    <w:p w14:paraId="071D095E" w14:textId="2E688B0D" w:rsidR="00B950D8" w:rsidRPr="00B950D8" w:rsidRDefault="00B950D8" w:rsidP="00B950D8">
      <w:r w:rsidRPr="00B950D8">
        <w:t>Newstart is a key mechanism of income support for people experiencing a need for financial support during times of difficulty such as unemployment</w:t>
      </w:r>
      <w:r>
        <w:t xml:space="preserve"> and was constructed as a short term fix, pending the person returning to work</w:t>
      </w:r>
      <w:r w:rsidRPr="00B950D8">
        <w:t>.  Unfortunately</w:t>
      </w:r>
      <w:r>
        <w:t>,</w:t>
      </w:r>
      <w:r w:rsidRPr="00B950D8">
        <w:t xml:space="preserve"> the current rate of Newstart does not adequately support people who are experiencing diffi</w:t>
      </w:r>
      <w:r>
        <w:t xml:space="preserve">cult times </w:t>
      </w:r>
      <w:r w:rsidRPr="00B950D8">
        <w:t>and has drifted well below the poverty line</w:t>
      </w:r>
      <w:r w:rsidRPr="00B950D8">
        <w:rPr>
          <w:vertAlign w:val="superscript"/>
        </w:rPr>
        <w:footnoteReference w:id="3"/>
      </w:r>
    </w:p>
    <w:p w14:paraId="7FFD003C" w14:textId="1A625558" w:rsidR="00B950D8" w:rsidRPr="00D55730" w:rsidRDefault="00B950D8" w:rsidP="00B950D8">
      <w:pPr>
        <w:ind w:left="720"/>
      </w:pPr>
      <w:r w:rsidRPr="00D55730">
        <w:t>“After housing costs, households whose main income is Newstart are $124 a week below the poverty line.</w:t>
      </w:r>
      <w:r w:rsidRPr="00D55730">
        <w:rPr>
          <w:vertAlign w:val="superscript"/>
        </w:rPr>
        <w:footnoteReference w:id="4"/>
      </w:r>
      <w:r w:rsidRPr="00D55730">
        <w:t xml:space="preserve"> This very committee declared the rate of Newstart to be below the poverty line as early as 2014” </w:t>
      </w:r>
      <w:r w:rsidRPr="00D55730">
        <w:rPr>
          <w:vertAlign w:val="superscript"/>
        </w:rPr>
        <w:footnoteReference w:id="5"/>
      </w:r>
    </w:p>
    <w:p w14:paraId="27FEFAA1" w14:textId="326FEDE7" w:rsidR="00B950D8" w:rsidRPr="00D55730" w:rsidRDefault="00B950D8" w:rsidP="00B950D8">
      <w:r w:rsidRPr="00D55730">
        <w:t xml:space="preserve">It is well documented that the Newstart payment is inadequate for meeting the financial needs of individuals. The maximum rate of Newstart for a single adult is just $278 per week - less than $40 a day. It’s less than half the minimum wage after tax and more than $180 less than the aged pension. </w:t>
      </w:r>
      <w:r w:rsidRPr="00D55730">
        <w:rPr>
          <w:u w:val="single"/>
        </w:rPr>
        <w:t>It is also the equal-lowest unemployment payment amongst the 33 OECD countries.</w:t>
      </w:r>
      <w:r w:rsidRPr="00D55730">
        <w:rPr>
          <w:u w:val="single"/>
          <w:vertAlign w:val="superscript"/>
        </w:rPr>
        <w:footnoteReference w:id="6"/>
      </w:r>
    </w:p>
    <w:p w14:paraId="7BE1BDA3" w14:textId="77777777" w:rsidR="00B950D8" w:rsidRPr="00D55730" w:rsidRDefault="00B950D8" w:rsidP="00B950D8">
      <w:r w:rsidRPr="00D55730">
        <w:t>Research by the University of New South Wales calculated a conservative minimum healthy budget for a single adult without children to be $434 per week - which was $96 more than the single rate of Newstart, Rent Assistance, and the Energy Supplement combined in July 2016.</w:t>
      </w:r>
      <w:r w:rsidRPr="00D55730">
        <w:rPr>
          <w:vertAlign w:val="superscript"/>
        </w:rPr>
        <w:footnoteReference w:id="7"/>
      </w:r>
    </w:p>
    <w:p w14:paraId="1F975935" w14:textId="0B06776F" w:rsidR="00B950D8" w:rsidRPr="00B950D8" w:rsidRDefault="00B950D8" w:rsidP="00B950D8">
      <w:r w:rsidRPr="00D55730">
        <w:rPr>
          <w:u w:val="single"/>
        </w:rPr>
        <w:t>As of April 2019, 1 in 4 people receiving Newstart were living with disability.</w:t>
      </w:r>
      <w:r w:rsidRPr="00D55730">
        <w:rPr>
          <w:u w:val="single"/>
          <w:vertAlign w:val="superscript"/>
        </w:rPr>
        <w:footnoteReference w:id="8"/>
      </w:r>
      <w:r w:rsidRPr="00B950D8">
        <w:t xml:space="preserve"> The rate of Newstart isn’t enough for peopl</w:t>
      </w:r>
      <w:r>
        <w:t>e with disability</w:t>
      </w:r>
      <w:r w:rsidRPr="00B950D8">
        <w:t xml:space="preserve"> to meet the higher costs of living associated with their conditions, such as specialist appointments, medication, and aids. </w:t>
      </w:r>
      <w:r>
        <w:t>As a result, m</w:t>
      </w:r>
      <w:r w:rsidRPr="00B950D8">
        <w:t xml:space="preserve">any people are </w:t>
      </w:r>
      <w:r>
        <w:t xml:space="preserve">regularly </w:t>
      </w:r>
      <w:r w:rsidRPr="00B950D8">
        <w:t xml:space="preserve">forced to choose between vital medication or care, and paying </w:t>
      </w:r>
      <w:r>
        <w:t xml:space="preserve">for things like </w:t>
      </w:r>
      <w:r w:rsidRPr="00B950D8">
        <w:t>their electricity bills</w:t>
      </w:r>
      <w:r>
        <w:t xml:space="preserve"> or food</w:t>
      </w:r>
      <w:r w:rsidRPr="00B950D8">
        <w:t>.</w:t>
      </w:r>
    </w:p>
    <w:p w14:paraId="76BAEC67" w14:textId="069A893B" w:rsidR="00B950D8" w:rsidRPr="00B950D8" w:rsidRDefault="00137FD6" w:rsidP="00B950D8">
      <w:pPr>
        <w:pStyle w:val="Heading2"/>
        <w:rPr>
          <w:sz w:val="32"/>
        </w:rPr>
      </w:pPr>
      <w:bookmarkStart w:id="10" w:name="_Toc21416509"/>
      <w:r>
        <w:rPr>
          <w:sz w:val="32"/>
        </w:rPr>
        <w:t xml:space="preserve">Increase of PwD on </w:t>
      </w:r>
      <w:r w:rsidR="00B950D8">
        <w:rPr>
          <w:sz w:val="32"/>
        </w:rPr>
        <w:t>Newstart resulting from DSP reforms</w:t>
      </w:r>
      <w:bookmarkEnd w:id="10"/>
    </w:p>
    <w:p w14:paraId="5409CB6C" w14:textId="26C46129" w:rsidR="00B950D8" w:rsidRDefault="00B950D8" w:rsidP="00B950D8">
      <w:pPr>
        <w:rPr>
          <w:lang w:val="en-AU"/>
        </w:rPr>
      </w:pPr>
      <w:r w:rsidRPr="00B950D8">
        <w:rPr>
          <w:lang w:val="en-AU"/>
        </w:rPr>
        <w:t xml:space="preserve">The latest 2018 Department of Social Services data (DSS, 2018) shows that in December 2018 there were 750,045 recipients of the DSP - 399,603 (53.3%) of whom were men and 350,442 (46.7%) were female. Most DSP recipients were single (578,399 persons or 77.1%) with 171,646 (22.9%) being partnered. </w:t>
      </w:r>
    </w:p>
    <w:p w14:paraId="73192930" w14:textId="77777777" w:rsidR="00B950D8" w:rsidRDefault="00B950D8" w:rsidP="00B950D8">
      <w:pPr>
        <w:rPr>
          <w:lang w:val="en-AU"/>
        </w:rPr>
      </w:pPr>
      <w:r w:rsidRPr="00B950D8">
        <w:rPr>
          <w:lang w:val="en-AU"/>
        </w:rPr>
        <w:t xml:space="preserve">There were 49,035 people receiving the DSP who self-identified as Aboriginal, Torres Strait Islander or South Sea Islander.  This suggests that Indigenous Australians are two and a half times more likely to be on the DSP than non-Indigenous Australians, reflecting both a higher prevalence of disability as well as significantly higher rates of unemployment and socio-economic disadvantage (Soldatic, 2018; Soldatic, 2018a). </w:t>
      </w:r>
    </w:p>
    <w:p w14:paraId="7C0C313D" w14:textId="56D02E8C" w:rsidR="00B950D8" w:rsidRPr="00D55730" w:rsidRDefault="00B950D8" w:rsidP="00B950D8">
      <w:pPr>
        <w:rPr>
          <w:lang w:val="en-AU"/>
        </w:rPr>
      </w:pPr>
      <w:r w:rsidRPr="00D55730">
        <w:t xml:space="preserve">The number of new DSP recipients per year has decreased from 89,000 in 2009–10 to around 32,000 in 2016–17. The rate of successful DSP claims has also declined markedly from 69% in 2010-11, 40.6% in 2013-14 to 29.8% in 2017-18. The average duration over which individuals receive a DSP payment is 688 weeks or around 13 years.” </w:t>
      </w:r>
      <w:r w:rsidRPr="00D55730">
        <w:rPr>
          <w:vertAlign w:val="superscript"/>
        </w:rPr>
        <w:footnoteReference w:id="9"/>
      </w:r>
    </w:p>
    <w:p w14:paraId="7AC9DAE1" w14:textId="505A640F" w:rsidR="00B950D8" w:rsidRPr="00B950D8" w:rsidRDefault="00B950D8" w:rsidP="00B950D8">
      <w:pPr>
        <w:rPr>
          <w:bCs/>
          <w:lang w:val="en-AU"/>
        </w:rPr>
      </w:pPr>
      <w:r w:rsidRPr="00B950D8">
        <w:rPr>
          <w:lang w:val="en"/>
        </w:rPr>
        <w:t>In 2018 the Disability Human Right</w:t>
      </w:r>
      <w:r>
        <w:rPr>
          <w:lang w:val="en"/>
        </w:rPr>
        <w:t>s</w:t>
      </w:r>
      <w:r w:rsidRPr="00B950D8">
        <w:rPr>
          <w:lang w:val="en"/>
        </w:rPr>
        <w:t xml:space="preserve"> Clinic at Melbourne Law School authored a report for AFDO, called “A </w:t>
      </w:r>
      <w:r w:rsidRPr="00B950D8">
        <w:rPr>
          <w:bCs/>
          <w:lang w:val="en-AU"/>
        </w:rPr>
        <w:t>Thematic Analysis of Administrative Appeals Tribunal (AAT</w:t>
      </w:r>
      <w:r>
        <w:rPr>
          <w:bCs/>
          <w:lang w:val="en-AU"/>
        </w:rPr>
        <w:t>) Decisions Involving Claiming and Reviewing t</w:t>
      </w:r>
      <w:r w:rsidRPr="00B950D8">
        <w:rPr>
          <w:bCs/>
          <w:lang w:val="en-AU"/>
        </w:rPr>
        <w:t xml:space="preserve">he Disability Support Pension”  </w:t>
      </w:r>
      <w:r w:rsidRPr="00B950D8">
        <w:rPr>
          <w:b/>
          <w:vertAlign w:val="superscript"/>
          <w:lang w:val="en"/>
        </w:rPr>
        <w:footnoteReference w:id="10"/>
      </w:r>
    </w:p>
    <w:p w14:paraId="2CDEF555" w14:textId="77777777" w:rsidR="00B950D8" w:rsidRPr="00D55730" w:rsidRDefault="00B950D8" w:rsidP="00B950D8">
      <w:pPr>
        <w:rPr>
          <w:bCs/>
          <w:lang w:val="en-AU"/>
        </w:rPr>
      </w:pPr>
      <w:r w:rsidRPr="00B950D8">
        <w:rPr>
          <w:bCs/>
          <w:lang w:val="en-AU"/>
        </w:rPr>
        <w:t xml:space="preserve">That report outlined changes to the DSP eligibility process that meant fewer people with </w:t>
      </w:r>
      <w:r w:rsidRPr="00D55730">
        <w:rPr>
          <w:bCs/>
          <w:lang w:val="en-AU"/>
        </w:rPr>
        <w:t>disability were being made eligible for the DSP:</w:t>
      </w:r>
    </w:p>
    <w:p w14:paraId="0B9683BC" w14:textId="043648AB" w:rsidR="00B950D8" w:rsidRPr="00D55730" w:rsidRDefault="00B950D8" w:rsidP="00B950D8">
      <w:pPr>
        <w:ind w:left="720"/>
        <w:rPr>
          <w:lang w:val="en"/>
        </w:rPr>
      </w:pPr>
      <w:r w:rsidRPr="00D55730">
        <w:rPr>
          <w:lang w:val="en"/>
        </w:rPr>
        <w:t xml:space="preserve">“A series of legislative changes in recent years have tightened the eligibility requirements for the DSP, making fewer people with disabilities eligible.” </w:t>
      </w:r>
      <w:r w:rsidRPr="00D55730">
        <w:rPr>
          <w:vertAlign w:val="superscript"/>
          <w:lang w:val="en"/>
        </w:rPr>
        <w:footnoteReference w:id="11"/>
      </w:r>
      <w:r w:rsidRPr="00D55730">
        <w:rPr>
          <w:lang w:val="en"/>
        </w:rPr>
        <w:t xml:space="preserve"> </w:t>
      </w:r>
    </w:p>
    <w:p w14:paraId="007680A5" w14:textId="7E44084A" w:rsidR="00B950D8" w:rsidRPr="00D55730" w:rsidRDefault="00B950D8" w:rsidP="00B950D8">
      <w:pPr>
        <w:ind w:left="720"/>
      </w:pPr>
      <w:r w:rsidRPr="00D55730">
        <w:rPr>
          <w:lang w:val="en"/>
        </w:rPr>
        <w:t xml:space="preserve">“Eligibility depends on an applicant proving they have impairments which limit functional capacity (that is, the ability to do certain everyday activities), demonstrating a continuing inability to work, and satisfying residency and age requirements.” </w:t>
      </w:r>
      <w:r w:rsidRPr="00D55730">
        <w:rPr>
          <w:vertAlign w:val="superscript"/>
          <w:lang w:val="en"/>
        </w:rPr>
        <w:footnoteReference w:id="12"/>
      </w:r>
    </w:p>
    <w:p w14:paraId="5F6524B1" w14:textId="77777777" w:rsidR="00B950D8" w:rsidRDefault="00B950D8" w:rsidP="00B950D8">
      <w:pPr>
        <w:rPr>
          <w:i/>
          <w:iCs/>
        </w:rPr>
      </w:pPr>
    </w:p>
    <w:p w14:paraId="5D31E759" w14:textId="5F7BEAEB" w:rsidR="00B950D8" w:rsidRPr="00B950D8" w:rsidRDefault="00B950D8" w:rsidP="00B950D8">
      <w:pPr>
        <w:pStyle w:val="Heading2"/>
        <w:rPr>
          <w:sz w:val="32"/>
        </w:rPr>
      </w:pPr>
      <w:bookmarkStart w:id="11" w:name="_Toc21416510"/>
      <w:r w:rsidRPr="00B950D8">
        <w:rPr>
          <w:sz w:val="32"/>
        </w:rPr>
        <w:t>Impairment</w:t>
      </w:r>
      <w:bookmarkEnd w:id="11"/>
    </w:p>
    <w:p w14:paraId="5E851E05" w14:textId="77777777" w:rsidR="00B950D8" w:rsidRPr="00B950D8" w:rsidRDefault="00B950D8" w:rsidP="00B950D8">
      <w:pPr>
        <w:rPr>
          <w:lang w:val="en"/>
        </w:rPr>
      </w:pPr>
      <w:r w:rsidRPr="00B950D8">
        <w:rPr>
          <w:lang w:val="en"/>
        </w:rPr>
        <w:t xml:space="preserve">Under s 94(1)(a) of the </w:t>
      </w:r>
      <w:r w:rsidRPr="00B950D8">
        <w:rPr>
          <w:i/>
          <w:lang w:val="en"/>
        </w:rPr>
        <w:t>Social Security Act 1991</w:t>
      </w:r>
      <w:r w:rsidRPr="00B950D8">
        <w:rPr>
          <w:lang w:val="en"/>
        </w:rPr>
        <w:t>, a person must have ‘a physical, intellectual or psychiatric impairment’ in order to be qualified to receive the disability support pension.</w:t>
      </w:r>
      <w:r w:rsidRPr="00B950D8">
        <w:rPr>
          <w:vertAlign w:val="superscript"/>
          <w:lang w:val="en"/>
        </w:rPr>
        <w:footnoteReference w:id="13"/>
      </w:r>
    </w:p>
    <w:p w14:paraId="33DD7F35" w14:textId="00B77091" w:rsidR="00B950D8" w:rsidRPr="00B950D8" w:rsidRDefault="00B950D8" w:rsidP="00B950D8">
      <w:pPr>
        <w:rPr>
          <w:b/>
        </w:rPr>
      </w:pPr>
      <w:r w:rsidRPr="00B950D8">
        <w:rPr>
          <w:b/>
        </w:rPr>
        <w:t xml:space="preserve">(a) </w:t>
      </w:r>
      <w:r>
        <w:rPr>
          <w:b/>
        </w:rPr>
        <w:t xml:space="preserve">Impairment Tables and </w:t>
      </w:r>
      <w:r w:rsidRPr="00B950D8">
        <w:rPr>
          <w:b/>
        </w:rPr>
        <w:t>20 points</w:t>
      </w:r>
      <w:r>
        <w:rPr>
          <w:b/>
        </w:rPr>
        <w:t xml:space="preserve"> or more</w:t>
      </w:r>
    </w:p>
    <w:p w14:paraId="12FEFB6B" w14:textId="77777777" w:rsidR="00B950D8" w:rsidRDefault="00B950D8" w:rsidP="00B950D8">
      <w:pPr>
        <w:rPr>
          <w:lang w:val="en"/>
        </w:rPr>
      </w:pPr>
      <w:r w:rsidRPr="00B950D8">
        <w:rPr>
          <w:lang w:val="en"/>
        </w:rPr>
        <w:t>Further, for someone to be eligible, their impairment(s) must be ‘of 20 points or more under the Impairment Tables’.</w:t>
      </w:r>
      <w:r w:rsidRPr="00B950D8">
        <w:rPr>
          <w:vertAlign w:val="superscript"/>
          <w:lang w:val="en"/>
        </w:rPr>
        <w:footnoteReference w:id="14"/>
      </w:r>
      <w:r w:rsidRPr="00B950D8">
        <w:rPr>
          <w:lang w:val="en"/>
        </w:rPr>
        <w:t xml:space="preserve"> </w:t>
      </w:r>
    </w:p>
    <w:p w14:paraId="26538E3F" w14:textId="77777777" w:rsidR="00B950D8" w:rsidRDefault="00B950D8" w:rsidP="00B950D8">
      <w:pPr>
        <w:rPr>
          <w:lang w:val="en"/>
        </w:rPr>
      </w:pPr>
      <w:r w:rsidRPr="00B950D8">
        <w:rPr>
          <w:lang w:val="en"/>
        </w:rPr>
        <w:t>The Impairment Tables are found in a legislative instrument – the</w:t>
      </w:r>
      <w:r w:rsidRPr="00B950D8">
        <w:rPr>
          <w:i/>
          <w:lang w:val="en"/>
        </w:rPr>
        <w:t xml:space="preserve"> Social Security (Tables for the Assessment of Work-related Impairment for Disability Support Pension) Determination 2011</w:t>
      </w:r>
      <w:r w:rsidRPr="00B950D8">
        <w:rPr>
          <w:lang w:val="en"/>
        </w:rPr>
        <w:t>. Their purpose is to enable decision-makers to assign an ‘impairment rating’.</w:t>
      </w:r>
      <w:r w:rsidRPr="00B950D8">
        <w:rPr>
          <w:vertAlign w:val="superscript"/>
          <w:lang w:val="en"/>
        </w:rPr>
        <w:footnoteReference w:id="15"/>
      </w:r>
      <w:r w:rsidRPr="00B950D8">
        <w:rPr>
          <w:lang w:val="en"/>
        </w:rPr>
        <w:t xml:space="preserve"> </w:t>
      </w:r>
    </w:p>
    <w:p w14:paraId="5365E27A" w14:textId="6E84E0E0" w:rsidR="00B950D8" w:rsidRPr="00B950D8" w:rsidRDefault="00B950D8" w:rsidP="00B950D8">
      <w:pPr>
        <w:rPr>
          <w:i/>
          <w:lang w:val="en"/>
        </w:rPr>
      </w:pPr>
      <w:r w:rsidRPr="00B950D8">
        <w:rPr>
          <w:lang w:val="en"/>
        </w:rPr>
        <w:t>This is expressed in terms of a number of ‘points’ – based on the extent of ‘functional impact’ arising from a medical condition.</w:t>
      </w:r>
      <w:r w:rsidRPr="00B950D8">
        <w:rPr>
          <w:vertAlign w:val="superscript"/>
          <w:lang w:val="en"/>
        </w:rPr>
        <w:footnoteReference w:id="16"/>
      </w:r>
    </w:p>
    <w:p w14:paraId="06AE5471" w14:textId="77777777" w:rsidR="00B950D8" w:rsidRPr="00B950D8" w:rsidRDefault="00B950D8" w:rsidP="00B950D8">
      <w:pPr>
        <w:rPr>
          <w:b/>
        </w:rPr>
      </w:pPr>
      <w:r w:rsidRPr="00B950D8">
        <w:rPr>
          <w:b/>
        </w:rPr>
        <w:t>(b) Permanency of impairment – a precondition for assigning points</w:t>
      </w:r>
    </w:p>
    <w:p w14:paraId="68EA18AA" w14:textId="77777777" w:rsidR="00B950D8" w:rsidRPr="00B950D8" w:rsidRDefault="00B950D8" w:rsidP="00B950D8">
      <w:pPr>
        <w:rPr>
          <w:lang w:val="en"/>
        </w:rPr>
      </w:pPr>
      <w:r w:rsidRPr="00B950D8">
        <w:rPr>
          <w:lang w:val="en"/>
        </w:rPr>
        <w:t xml:space="preserve">Under s 6(3) of the </w:t>
      </w:r>
      <w:r w:rsidRPr="00B950D8">
        <w:rPr>
          <w:i/>
          <w:lang w:val="en"/>
        </w:rPr>
        <w:t>Impairment Tables</w:t>
      </w:r>
      <w:r w:rsidRPr="00B950D8">
        <w:rPr>
          <w:lang w:val="en"/>
        </w:rPr>
        <w:t>, an impairment rating can only be assigned if the condition which causes an impairment is ‘permanent’.</w:t>
      </w:r>
      <w:r w:rsidRPr="00B950D8">
        <w:rPr>
          <w:vertAlign w:val="superscript"/>
          <w:lang w:val="en"/>
        </w:rPr>
        <w:footnoteReference w:id="17"/>
      </w:r>
      <w:r w:rsidRPr="00B950D8">
        <w:rPr>
          <w:lang w:val="en"/>
        </w:rPr>
        <w:t xml:space="preserve"> In order to be considered permanent, the condition must have been ‘fully diagnosed’ by ‘an appropriately qualified medical practitioner’, ‘fully treated’, and ‘fully stabilised’ and be likely to persist for 2 years.</w:t>
      </w:r>
      <w:r w:rsidRPr="00B950D8">
        <w:rPr>
          <w:vertAlign w:val="superscript"/>
          <w:lang w:val="en"/>
        </w:rPr>
        <w:footnoteReference w:id="18"/>
      </w:r>
      <w:r w:rsidRPr="00B950D8">
        <w:rPr>
          <w:lang w:val="en"/>
        </w:rPr>
        <w:t xml:space="preserve">  </w:t>
      </w:r>
    </w:p>
    <w:p w14:paraId="77C112A3" w14:textId="77777777" w:rsidR="00B950D8" w:rsidRPr="00B950D8" w:rsidRDefault="00B950D8" w:rsidP="00B950D8">
      <w:pPr>
        <w:rPr>
          <w:lang w:val="en"/>
        </w:rPr>
      </w:pPr>
      <w:r w:rsidRPr="00B950D8">
        <w:rPr>
          <w:lang w:val="en"/>
        </w:rPr>
        <w:t>Whether a condition is fully stabilised can depend on whether the individual has ‘undertaken reasonable treatment’ and whether further treatment is ‘unlikely to result in significant functional improvement’ to the extent that they would be able to work within two years.</w:t>
      </w:r>
      <w:r w:rsidRPr="00B950D8">
        <w:rPr>
          <w:vertAlign w:val="superscript"/>
          <w:lang w:val="en"/>
        </w:rPr>
        <w:footnoteReference w:id="19"/>
      </w:r>
      <w:r w:rsidRPr="00B950D8">
        <w:rPr>
          <w:lang w:val="en"/>
        </w:rPr>
        <w:t xml:space="preserve"> </w:t>
      </w:r>
    </w:p>
    <w:p w14:paraId="44F4F219" w14:textId="77777777" w:rsidR="00B950D8" w:rsidRPr="00B950D8" w:rsidRDefault="00B950D8" w:rsidP="00B950D8">
      <w:pPr>
        <w:rPr>
          <w:lang w:val="en"/>
        </w:rPr>
      </w:pPr>
      <w:r w:rsidRPr="00B950D8">
        <w:rPr>
          <w:lang w:val="en"/>
        </w:rPr>
        <w:t>Alternatively, it could be proved that the person would not experience ‘functional improvement’ allowing them to work within two years or that ‘there is a medical or other compelling reason’ which prevented the person pursuing ‘reasonable treatment’.</w:t>
      </w:r>
      <w:r w:rsidRPr="00B950D8">
        <w:rPr>
          <w:vertAlign w:val="superscript"/>
          <w:lang w:val="en"/>
        </w:rPr>
        <w:footnoteReference w:id="20"/>
      </w:r>
      <w:r w:rsidRPr="00B950D8">
        <w:rPr>
          <w:lang w:val="en"/>
        </w:rPr>
        <w:t xml:space="preserve"> The cost, location, risks, reliability, and availability of treatment are relevant to determining whether it was ‘reasonable’.</w:t>
      </w:r>
      <w:r w:rsidRPr="00B950D8">
        <w:rPr>
          <w:vertAlign w:val="superscript"/>
          <w:lang w:val="en"/>
        </w:rPr>
        <w:footnoteReference w:id="21"/>
      </w:r>
    </w:p>
    <w:p w14:paraId="03F87EBB" w14:textId="77777777" w:rsidR="00B950D8" w:rsidRPr="00B950D8" w:rsidRDefault="00B950D8" w:rsidP="00B950D8">
      <w:pPr>
        <w:rPr>
          <w:b/>
        </w:rPr>
      </w:pPr>
      <w:r w:rsidRPr="00B950D8">
        <w:rPr>
          <w:b/>
        </w:rPr>
        <w:t xml:space="preserve">(c) Functional impairment: the basis for assigning points: </w:t>
      </w:r>
    </w:p>
    <w:p w14:paraId="6F2270A5" w14:textId="77777777" w:rsidR="00B950D8" w:rsidRPr="00B950D8" w:rsidRDefault="00B950D8" w:rsidP="00B950D8">
      <w:pPr>
        <w:rPr>
          <w:lang w:val="en"/>
        </w:rPr>
      </w:pPr>
      <w:r w:rsidRPr="00B950D8">
        <w:rPr>
          <w:lang w:val="en"/>
        </w:rPr>
        <w:t>The Impairment Tables draw attention to ‘what the person can, or could do’, that is, their ‘functional capacity’.</w:t>
      </w:r>
      <w:r w:rsidRPr="00B950D8">
        <w:rPr>
          <w:vertAlign w:val="superscript"/>
          <w:lang w:val="en"/>
        </w:rPr>
        <w:footnoteReference w:id="22"/>
      </w:r>
      <w:r w:rsidRPr="00B950D8">
        <w:rPr>
          <w:lang w:val="en"/>
        </w:rPr>
        <w:t xml:space="preserve"> </w:t>
      </w:r>
    </w:p>
    <w:p w14:paraId="17486A4C" w14:textId="77777777" w:rsidR="00B950D8" w:rsidRPr="00B950D8" w:rsidRDefault="00B950D8" w:rsidP="00B950D8">
      <w:pPr>
        <w:rPr>
          <w:lang w:val="en"/>
        </w:rPr>
      </w:pPr>
      <w:r w:rsidRPr="00B950D8">
        <w:rPr>
          <w:lang w:val="en"/>
        </w:rPr>
        <w:t>Each Impairment Table relates to a specific kind of function [See Box 1].</w:t>
      </w:r>
      <w:r w:rsidRPr="00B950D8">
        <w:rPr>
          <w:vertAlign w:val="superscript"/>
          <w:lang w:val="en"/>
        </w:rPr>
        <w:footnoteReference w:id="23"/>
      </w:r>
      <w:r w:rsidRPr="00B950D8">
        <w:rPr>
          <w:lang w:val="en"/>
        </w:rPr>
        <w:t xml:space="preserve"> Under each Table, an impairment can be assessed to cause:</w:t>
      </w:r>
    </w:p>
    <w:p w14:paraId="50229EEE" w14:textId="77777777" w:rsidR="00B950D8" w:rsidRPr="00B950D8" w:rsidRDefault="00B950D8" w:rsidP="00B950D8">
      <w:pPr>
        <w:rPr>
          <w:lang w:val="en"/>
        </w:rPr>
      </w:pPr>
      <w:r w:rsidRPr="00B950D8">
        <w:rPr>
          <w:lang w:val="en"/>
        </w:rPr>
        <w:t>- ‘no functional impact’, leading to 0 points being assigned.</w:t>
      </w:r>
    </w:p>
    <w:p w14:paraId="5B37E893" w14:textId="77777777" w:rsidR="00B950D8" w:rsidRPr="00B950D8" w:rsidRDefault="00B950D8" w:rsidP="00B950D8">
      <w:pPr>
        <w:rPr>
          <w:lang w:val="en"/>
        </w:rPr>
      </w:pPr>
      <w:r w:rsidRPr="00B950D8">
        <w:rPr>
          <w:lang w:val="en"/>
        </w:rPr>
        <w:t xml:space="preserve">- ‘mild functional impact’, leading to 5 points being assigned. </w:t>
      </w:r>
    </w:p>
    <w:p w14:paraId="0AE2409F" w14:textId="77777777" w:rsidR="00B950D8" w:rsidRPr="00B950D8" w:rsidRDefault="00B950D8" w:rsidP="00B950D8">
      <w:pPr>
        <w:rPr>
          <w:lang w:val="en"/>
        </w:rPr>
      </w:pPr>
      <w:r w:rsidRPr="00B950D8">
        <w:rPr>
          <w:lang w:val="en"/>
        </w:rPr>
        <w:t>- ‘moderate functional impact’, leading to 10 points being assigned.</w:t>
      </w:r>
    </w:p>
    <w:p w14:paraId="24D5D8D9" w14:textId="77777777" w:rsidR="00B950D8" w:rsidRPr="00B950D8" w:rsidRDefault="00B950D8" w:rsidP="00B950D8">
      <w:pPr>
        <w:rPr>
          <w:lang w:val="en"/>
        </w:rPr>
      </w:pPr>
      <w:r w:rsidRPr="00B950D8">
        <w:rPr>
          <w:lang w:val="en"/>
        </w:rPr>
        <w:t>- ‘severe functional impact’, leading to 20 points being assigned.</w:t>
      </w:r>
    </w:p>
    <w:p w14:paraId="3AECC271" w14:textId="77777777" w:rsidR="00B950D8" w:rsidRPr="00B950D8" w:rsidRDefault="00B950D8" w:rsidP="00B950D8">
      <w:pPr>
        <w:rPr>
          <w:lang w:val="en"/>
        </w:rPr>
      </w:pPr>
      <w:r w:rsidRPr="00B950D8">
        <w:rPr>
          <w:lang w:val="en"/>
        </w:rPr>
        <w:t xml:space="preserve">- ‘extreme functional impact’, leading to 30 points being assigned. </w:t>
      </w:r>
    </w:p>
    <w:p w14:paraId="27EC3913" w14:textId="77777777" w:rsidR="00B950D8" w:rsidRPr="00B950D8" w:rsidRDefault="00B950D8" w:rsidP="00B950D8">
      <w:pPr>
        <w:rPr>
          <w:lang w:val="en"/>
        </w:rPr>
      </w:pPr>
      <w:r w:rsidRPr="00B950D8">
        <w:rPr>
          <w:lang w:val="en"/>
        </w:rPr>
        <w:t>The level of functional impairment is assessed by reference to particular examples of activities or tasks which a person can or cannot perform.</w:t>
      </w:r>
      <w:r w:rsidRPr="00B950D8">
        <w:rPr>
          <w:vertAlign w:val="superscript"/>
          <w:lang w:val="en"/>
        </w:rPr>
        <w:footnoteReference w:id="24"/>
      </w:r>
    </w:p>
    <w:p w14:paraId="2C566771" w14:textId="77777777" w:rsidR="00B950D8" w:rsidRPr="00B950D8" w:rsidRDefault="00B950D8" w:rsidP="00B950D8">
      <w:r w:rsidRPr="00B950D8">
        <w:t>A number of key reforms by successive governments since 2006 have impacted on eligibility for the Disability Support Pension including:</w:t>
      </w:r>
    </w:p>
    <w:p w14:paraId="09CB3637" w14:textId="77777777" w:rsidR="00B950D8" w:rsidRPr="00B950D8" w:rsidRDefault="00B950D8" w:rsidP="00B950D8">
      <w:pPr>
        <w:numPr>
          <w:ilvl w:val="0"/>
          <w:numId w:val="11"/>
        </w:numPr>
      </w:pPr>
      <w:r w:rsidRPr="00B950D8">
        <w:t>In 2006 the number of hours that a person with disability on the DSP could work was lowered from 30 hours to 15 hours.  This meant that if a person with a disability was assessed as having the capacity to work for more than 15 hours then they no longer qualified for the Disability Support Pension.  This leads to an increase of the numbers of people with disability being assessed and placed onto Newstart.</w:t>
      </w:r>
    </w:p>
    <w:p w14:paraId="53EB9F7D" w14:textId="77777777" w:rsidR="00B950D8" w:rsidRPr="00B950D8" w:rsidRDefault="00B950D8" w:rsidP="00B950D8">
      <w:pPr>
        <w:numPr>
          <w:ilvl w:val="0"/>
          <w:numId w:val="11"/>
        </w:numPr>
      </w:pPr>
      <w:r w:rsidRPr="00B950D8">
        <w:t>In 2012 Impairment Tables were introduced and a shift in determining eligibility from assessing medical diagnosis and their impact on body systems to a focus instead on functional abilities required to work</w:t>
      </w:r>
    </w:p>
    <w:p w14:paraId="11527181" w14:textId="08A1A027" w:rsidR="00B950D8" w:rsidRPr="00B950D8" w:rsidRDefault="00B950D8" w:rsidP="00B950D8">
      <w:pPr>
        <w:numPr>
          <w:ilvl w:val="0"/>
          <w:numId w:val="11"/>
        </w:numPr>
      </w:pPr>
      <w:r w:rsidRPr="00B950D8">
        <w:t>In 2014/2015 reforms targeted people under 35 who were assessed as having a work capacity of eight hours or more per week to participate in activities.  As well the inclusion of a new eligibility criteria which requires people to be ful</w:t>
      </w:r>
      <w:r>
        <w:t>l</w:t>
      </w:r>
      <w:r w:rsidRPr="00B950D8">
        <w:t xml:space="preserve">y diagnosed treated and stabilised was also imposed.  </w:t>
      </w:r>
    </w:p>
    <w:p w14:paraId="50F706ED" w14:textId="77777777" w:rsidR="00B950D8" w:rsidRDefault="00B950D8">
      <w:pPr>
        <w:spacing w:after="0" w:line="240" w:lineRule="auto"/>
        <w:rPr>
          <w:b/>
        </w:rPr>
      </w:pPr>
      <w:r>
        <w:rPr>
          <w:b/>
        </w:rPr>
        <w:br w:type="page"/>
      </w:r>
    </w:p>
    <w:p w14:paraId="7D147C46" w14:textId="18662460" w:rsidR="00B950D8" w:rsidRPr="00B950D8" w:rsidRDefault="00B950D8" w:rsidP="00B950D8">
      <w:pPr>
        <w:pStyle w:val="Heading2"/>
        <w:rPr>
          <w:sz w:val="32"/>
        </w:rPr>
      </w:pPr>
      <w:bookmarkStart w:id="12" w:name="_Toc21416511"/>
      <w:r w:rsidRPr="00B950D8">
        <w:rPr>
          <w:sz w:val="32"/>
        </w:rPr>
        <w:t xml:space="preserve">Partial Capacity to Work </w:t>
      </w:r>
      <w:r>
        <w:rPr>
          <w:sz w:val="32"/>
        </w:rPr>
        <w:t>and Newstart</w:t>
      </w:r>
      <w:bookmarkEnd w:id="12"/>
    </w:p>
    <w:p w14:paraId="3CE8C1D5" w14:textId="47045954" w:rsidR="00B950D8" w:rsidRDefault="00B950D8" w:rsidP="00B950D8">
      <w:r w:rsidRPr="00B950D8">
        <w:t xml:space="preserve">“In Australia, people who have a disability and are aged between 16 years and the age pension age are eligible for the social security benefit “the Disability Support Pension” (DSP). This is a means-tested payment subject to the assessment of an individual’s capacity to work. </w:t>
      </w:r>
    </w:p>
    <w:p w14:paraId="15F0892F" w14:textId="082EA49C" w:rsidR="00B950D8" w:rsidRPr="00B950D8" w:rsidRDefault="00B950D8" w:rsidP="00B950D8">
      <w:r w:rsidRPr="00B950D8">
        <w:t>Since 1 July 2006 people with disability who apply for income support and who can work 15-29 hours a week are placed o</w:t>
      </w:r>
      <w:r>
        <w:t xml:space="preserve">n the Newstart Allowance (NSA), or Youth Allowance, </w:t>
      </w:r>
      <w:r w:rsidRPr="00B950D8">
        <w:t>rather than the DSP. These individuals are known as the ‘partial capacity to work’ group of beneficiaries. However, the NSA provides a significantly lower benefit and has a more stringent income test.</w:t>
      </w:r>
    </w:p>
    <w:p w14:paraId="6792EF6B" w14:textId="02657EB8" w:rsidR="00B950D8" w:rsidRPr="00D55730" w:rsidRDefault="00B950D8" w:rsidP="00B950D8">
      <w:r w:rsidRPr="00B950D8">
        <w:t xml:space="preserve">The tightening of the eligibility criteria for DSP has led to a significant transition of recipients from receiving the DSP to the NSA which is paid at a lower rate. At December 2014 there were 153,582 individuals in the partial capacity to work group receiving the NSA, representing 21.1 per cent of all NSA recipients. Four years later, in December </w:t>
      </w:r>
      <w:r w:rsidRPr="00D55730">
        <w:t>2018 the number had grown by 30.2 per cent to almost reaching 200,000 Australians. Those classified as having ‘partial capacity to work’ now account for nearly 28% of all NSA recipients.”</w:t>
      </w:r>
      <w:r w:rsidRPr="00D55730">
        <w:rPr>
          <w:vertAlign w:val="superscript"/>
        </w:rPr>
        <w:footnoteReference w:id="25"/>
      </w:r>
      <w:r w:rsidRPr="00D55730">
        <w:t xml:space="preserve">  Since 2006, the eligibility for the DSP was further tightened, in 2012 and again in 2014-2015. </w:t>
      </w:r>
    </w:p>
    <w:p w14:paraId="69879B98" w14:textId="312B0677" w:rsidR="00B950D8" w:rsidRPr="00D55730" w:rsidRDefault="00B950D8" w:rsidP="00B950D8">
      <w:pPr>
        <w:rPr>
          <w:u w:val="single"/>
        </w:rPr>
      </w:pPr>
      <w:r w:rsidRPr="00D55730">
        <w:t xml:space="preserve">NATSEM modelling of the 2006 budget measure suggested that the living standards of people with disability could be cut by up to 31% compared with the tax and transfer system in 2005. </w:t>
      </w:r>
      <w:r w:rsidRPr="00D55730">
        <w:rPr>
          <w:u w:val="single"/>
        </w:rPr>
        <w:t>A significant number of Australians with disability and their families are now living in poverty.</w:t>
      </w:r>
    </w:p>
    <w:p w14:paraId="56F2E7F0" w14:textId="77777777" w:rsidR="00B950D8" w:rsidRDefault="00B950D8" w:rsidP="00B950D8">
      <w:r w:rsidRPr="00B950D8">
        <w:t xml:space="preserve">By December 2018, the number of people who were assessed as having partial capacity to work stood at almost 200,000 people.  </w:t>
      </w:r>
    </w:p>
    <w:p w14:paraId="12690471" w14:textId="588D6B6A" w:rsidR="00B950D8" w:rsidRPr="00B950D8" w:rsidRDefault="00B950D8" w:rsidP="00B950D8">
      <w:r w:rsidRPr="00B950D8">
        <w:t>AFDO</w:t>
      </w:r>
      <w:r>
        <w:t xml:space="preserve"> reco</w:t>
      </w:r>
      <w:r w:rsidR="00137FD6">
        <w:t xml:space="preserve">mmends that of that the eligibility criteria for the DSP be returned to the requirements </w:t>
      </w:r>
      <w:r w:rsidR="00C724D2">
        <w:t xml:space="preserve">that existed </w:t>
      </w:r>
      <w:r w:rsidR="00137FD6">
        <w:t xml:space="preserve">pre </w:t>
      </w:r>
      <w:r w:rsidR="00C724D2">
        <w:t xml:space="preserve">the changes made in </w:t>
      </w:r>
      <w:r w:rsidR="00137FD6">
        <w:t>2014-2015.</w:t>
      </w:r>
    </w:p>
    <w:p w14:paraId="61DC1DF1" w14:textId="052C0434" w:rsidR="00B950D8" w:rsidRPr="00B950D8" w:rsidRDefault="00B950D8" w:rsidP="00B950D8">
      <w:r w:rsidRPr="00B950D8">
        <w:t>“New data from the social services department shows there were 199,907 Newstart recipients with “partial capacity to work” in December, an increase of 50% – or about</w:t>
      </w:r>
      <w:r>
        <w:t xml:space="preserve"> </w:t>
      </w:r>
      <w:r w:rsidRPr="00B950D8">
        <w:t>65,000 – over the past five years. The figure represents 26% of the 722,923 on the dole.”</w:t>
      </w:r>
      <w:r w:rsidRPr="00B950D8">
        <w:rPr>
          <w:vertAlign w:val="superscript"/>
        </w:rPr>
        <w:footnoteReference w:id="26"/>
      </w:r>
    </w:p>
    <w:p w14:paraId="43112BC4" w14:textId="789850E7" w:rsidR="00B950D8" w:rsidRDefault="00B950D8" w:rsidP="00B950D8">
      <w:r w:rsidRPr="00B950D8">
        <w:t xml:space="preserve">People with disability are firstly and usually diagnosed by their treating doctor </w:t>
      </w:r>
      <w:r>
        <w:t xml:space="preserve">(general practitioner) </w:t>
      </w:r>
      <w:r w:rsidRPr="00B950D8">
        <w:t>about the existence and nature of their disability</w:t>
      </w:r>
      <w:r>
        <w:t>, this is the physician who knows and understands their disability as well as their personal history</w:t>
      </w:r>
      <w:r w:rsidRPr="00B950D8">
        <w:t>.  Thi</w:t>
      </w:r>
      <w:r>
        <w:t>s diagnosis usually takes place</w:t>
      </w:r>
      <w:r w:rsidRPr="00B950D8">
        <w:t xml:space="preserve"> in the context of significant daily functional impairments that prevents them for engaging in the community in the same manner, such as sustaining </w:t>
      </w:r>
      <w:r>
        <w:t xml:space="preserve">employment, as people without </w:t>
      </w:r>
      <w:r w:rsidRPr="00B950D8">
        <w:t xml:space="preserve">disability.  </w:t>
      </w:r>
    </w:p>
    <w:p w14:paraId="54759DE9" w14:textId="06649A7E" w:rsidR="00B950D8" w:rsidRPr="00B950D8" w:rsidRDefault="00B950D8" w:rsidP="00B950D8">
      <w:r w:rsidRPr="00B950D8">
        <w:t>However</w:t>
      </w:r>
      <w:r>
        <w:t>,</w:t>
      </w:r>
      <w:r w:rsidRPr="00B950D8">
        <w:t xml:space="preserve"> when they get to Centrelink</w:t>
      </w:r>
      <w:r>
        <w:t>,</w:t>
      </w:r>
      <w:r w:rsidRPr="00B950D8">
        <w:t xml:space="preserve"> a second assessment takes place where people with a medical diagnosis of disability are informed that the</w:t>
      </w:r>
      <w:r>
        <w:t>ir</w:t>
      </w:r>
      <w:r w:rsidRPr="00B950D8">
        <w:t xml:space="preserve"> diagnosed disability</w:t>
      </w:r>
      <w:r>
        <w:t>,</w:t>
      </w:r>
      <w:r w:rsidRPr="00B950D8">
        <w:t xml:space="preserve"> </w:t>
      </w:r>
      <w:r>
        <w:t xml:space="preserve">by their own treating general practitioner, </w:t>
      </w:r>
      <w:r w:rsidRPr="00B950D8">
        <w:t xml:space="preserve">does not meet the Department of Human Services criteria for eligibility and </w:t>
      </w:r>
      <w:r>
        <w:t xml:space="preserve">they </w:t>
      </w:r>
      <w:r w:rsidRPr="00B950D8">
        <w:t xml:space="preserve">are </w:t>
      </w:r>
      <w:r>
        <w:t xml:space="preserve">then </w:t>
      </w:r>
      <w:r w:rsidRPr="00B950D8">
        <w:t xml:space="preserve">placed onto Newstart. </w:t>
      </w:r>
    </w:p>
    <w:p w14:paraId="3F37DB0C" w14:textId="77777777" w:rsidR="00B950D8" w:rsidRPr="00B950D8" w:rsidRDefault="00B950D8" w:rsidP="00B950D8">
      <w:r w:rsidRPr="00B950D8">
        <w:t>Two key aspects of that process act as barriers to people with disability being able to receive the DSP:</w:t>
      </w:r>
    </w:p>
    <w:p w14:paraId="5CDB284F" w14:textId="77777777" w:rsidR="00B950D8" w:rsidRPr="00B950D8" w:rsidRDefault="00B950D8" w:rsidP="00B950D8">
      <w:pPr>
        <w:numPr>
          <w:ilvl w:val="0"/>
          <w:numId w:val="10"/>
        </w:numPr>
      </w:pPr>
      <w:r w:rsidRPr="00B950D8">
        <w:t xml:space="preserve">The exclusive legislative basis that requires the use of a medical model to assess disability and </w:t>
      </w:r>
      <w:r w:rsidRPr="00B950D8">
        <w:rPr>
          <w:u w:val="single"/>
        </w:rPr>
        <w:t>excludes</w:t>
      </w:r>
      <w:r w:rsidRPr="00B950D8">
        <w:t xml:space="preserve"> the social model of disability</w:t>
      </w:r>
    </w:p>
    <w:p w14:paraId="5EA64D71" w14:textId="77777777" w:rsidR="00B950D8" w:rsidRPr="00B950D8" w:rsidRDefault="00B950D8" w:rsidP="00B950D8">
      <w:pPr>
        <w:numPr>
          <w:ilvl w:val="0"/>
          <w:numId w:val="10"/>
        </w:numPr>
      </w:pPr>
      <w:r w:rsidRPr="00B950D8">
        <w:t xml:space="preserve">The use of the job capacity assessment as the basis upon which people’s disability is assessed </w:t>
      </w:r>
    </w:p>
    <w:p w14:paraId="2CF5D3B9" w14:textId="77777777" w:rsidR="00B950D8" w:rsidRPr="00D55730" w:rsidRDefault="00B950D8" w:rsidP="00B950D8">
      <w:pPr>
        <w:ind w:left="360"/>
        <w:rPr>
          <w:lang w:val="en"/>
        </w:rPr>
      </w:pPr>
      <w:r w:rsidRPr="00D55730">
        <w:rPr>
          <w:lang w:val="en"/>
        </w:rPr>
        <w:t xml:space="preserve">“This reflects the silence of the regulatory framework on the social causes of disability. Indeed, as the </w:t>
      </w:r>
      <w:r w:rsidRPr="00D55730">
        <w:rPr>
          <w:i/>
          <w:lang w:val="en"/>
        </w:rPr>
        <w:t>Impairment Tables</w:t>
      </w:r>
      <w:r w:rsidRPr="00D55730">
        <w:rPr>
          <w:lang w:val="en"/>
        </w:rPr>
        <w:t xml:space="preserve"> exclusively direct attention to the tasks and activities an individual is able to perform, evidence relating to the way in which social structures disable people with impairments is largely irrelevant. Evidence of marginalisation or discrimination is not the basis for the ‘award’</w:t>
      </w:r>
      <w:r w:rsidRPr="00D55730">
        <w:rPr>
          <w:vertAlign w:val="superscript"/>
          <w:lang w:val="en"/>
        </w:rPr>
        <w:footnoteReference w:id="27"/>
      </w:r>
      <w:r w:rsidRPr="00D55730">
        <w:rPr>
          <w:lang w:val="en"/>
        </w:rPr>
        <w:t xml:space="preserve"> of points under the Impairment Tables.”</w:t>
      </w:r>
      <w:r w:rsidRPr="00D55730">
        <w:rPr>
          <w:vertAlign w:val="superscript"/>
          <w:lang w:val="en"/>
        </w:rPr>
        <w:footnoteReference w:id="28"/>
      </w:r>
    </w:p>
    <w:p w14:paraId="6DC83AB8" w14:textId="7FF9AE68" w:rsidR="00B950D8" w:rsidRPr="00B950D8" w:rsidRDefault="00B950D8" w:rsidP="00B950D8">
      <w:r>
        <w:t xml:space="preserve">AFDO </w:t>
      </w:r>
      <w:r w:rsidRPr="00B950D8">
        <w:t>remain</w:t>
      </w:r>
      <w:r>
        <w:t>s</w:t>
      </w:r>
      <w:r w:rsidRPr="00B950D8">
        <w:t xml:space="preserve"> concerned that successive Governments have made meeting the eligibility threshold so burdensome and difficult that many people with disability who may have been eligible in the past</w:t>
      </w:r>
      <w:r>
        <w:t>,</w:t>
      </w:r>
      <w:r w:rsidRPr="00B950D8">
        <w:t xml:space="preserve"> can no longer access the DSP and instead are having to exist on Newstart.</w:t>
      </w:r>
    </w:p>
    <w:p w14:paraId="46B648C3" w14:textId="5781A6BB" w:rsidR="00B950D8" w:rsidRDefault="00B950D8" w:rsidP="00B950D8">
      <w:r w:rsidRPr="00B950D8">
        <w:t>Professor Laurie Brown at the National Centre for Social and Economic Modelling (NATSEM</w:t>
      </w:r>
      <w:r>
        <w:t xml:space="preserve">) at the University of Canberra, </w:t>
      </w:r>
      <w:r w:rsidRPr="00B950D8">
        <w:t xml:space="preserve">found </w:t>
      </w:r>
      <w:r w:rsidRPr="00D55730">
        <w:t xml:space="preserve">that Australian households with at least one adult family member with disability need on average an extra $110 per week to meet to the economic cost of living with a disability. This gap in income rises substantially for families living on the DSP or Newstart </w:t>
      </w:r>
      <w:r w:rsidRPr="00D55730">
        <w:rPr>
          <w:vertAlign w:val="superscript"/>
        </w:rPr>
        <w:footnoteReference w:id="29"/>
      </w:r>
    </w:p>
    <w:p w14:paraId="5A1236B5" w14:textId="77777777" w:rsidR="00B950D8" w:rsidRDefault="00B950D8" w:rsidP="00B950D8"/>
    <w:p w14:paraId="2C44CDE7" w14:textId="77777777" w:rsidR="00137FD6" w:rsidRDefault="00137FD6" w:rsidP="00B950D8"/>
    <w:p w14:paraId="4652B563" w14:textId="7AFC957D" w:rsidR="00B950D8" w:rsidRPr="00B950D8" w:rsidRDefault="00B950D8" w:rsidP="00B950D8">
      <w:r w:rsidRPr="00B950D8">
        <w:t xml:space="preserve">Professor Brown at NATSEM </w:t>
      </w:r>
      <w:r>
        <w:t>also found;</w:t>
      </w:r>
    </w:p>
    <w:p w14:paraId="6E056F87" w14:textId="77777777" w:rsidR="00B950D8" w:rsidRPr="00D55730" w:rsidRDefault="00B950D8" w:rsidP="00B950D8">
      <w:pPr>
        <w:ind w:left="720"/>
      </w:pPr>
      <w:r w:rsidRPr="00D55730">
        <w:t>“The income support provided through the DSP to households is inadequate to provide these families with the same standard of living as households that are similar in every other way but who have no family member with disability, and the gaps in standards of living are much higher for households where a family member with disability is on Newstart.</w:t>
      </w:r>
    </w:p>
    <w:p w14:paraId="619482B4" w14:textId="77777777" w:rsidR="00B950D8" w:rsidRPr="00D55730" w:rsidRDefault="00B950D8" w:rsidP="00B950D8">
      <w:pPr>
        <w:ind w:left="720"/>
      </w:pPr>
      <w:r w:rsidRPr="00D55730">
        <w:t>To close the gap in household income so there aren’t inequities in households’ standards of living, families already receiving the DSP would need an extra $183 per week on average, and those on Newstart $343 more.</w:t>
      </w:r>
      <w:r w:rsidRPr="00D55730" w:rsidDel="00483994">
        <w:t xml:space="preserve"> </w:t>
      </w:r>
      <w:r w:rsidRPr="00D55730">
        <w:t>If the Government spent an additional $3.1 billion a year on the DSP then the gap in the standard of living of households already on the DSP would nearly halve.</w:t>
      </w:r>
    </w:p>
    <w:p w14:paraId="19672C8D" w14:textId="77777777" w:rsidR="00B950D8" w:rsidRPr="00D55730" w:rsidRDefault="00B950D8" w:rsidP="00B950D8">
      <w:pPr>
        <w:ind w:left="720"/>
      </w:pPr>
      <w:r w:rsidRPr="00D55730">
        <w:t>Because of this extra cost, people with disability and their families experience different standards of living. Many households cannot afford to have family or friends over for dinner once a month, some families even going without meals due to a shortage of money; or couldn’t save money having to get financial assistance from community organisations or help from friends and relatives; or couldn’t afford to have a night out once a fortnight or have a holiday for a week once a year.”</w:t>
      </w:r>
      <w:r w:rsidRPr="00D55730">
        <w:rPr>
          <w:vertAlign w:val="superscript"/>
        </w:rPr>
        <w:footnoteReference w:id="30"/>
      </w:r>
    </w:p>
    <w:p w14:paraId="71957053" w14:textId="77777777" w:rsidR="00B950D8" w:rsidRDefault="00B950D8" w:rsidP="00B950D8">
      <w:pPr>
        <w:spacing w:after="0" w:line="240" w:lineRule="auto"/>
      </w:pPr>
    </w:p>
    <w:p w14:paraId="7DF07C68" w14:textId="212BE7CB" w:rsidR="00B950D8" w:rsidRDefault="00B950D8" w:rsidP="00B950D8">
      <w:pPr>
        <w:spacing w:after="0" w:line="240" w:lineRule="auto"/>
      </w:pPr>
      <w:r w:rsidRPr="00B950D8">
        <w:t>The AFDO commissioned</w:t>
      </w:r>
      <w:r>
        <w:t>,</w:t>
      </w:r>
      <w:r w:rsidRPr="00B950D8">
        <w:t xml:space="preserve"> NATSEM Report</w:t>
      </w:r>
      <w:r>
        <w:t>,</w:t>
      </w:r>
      <w:r w:rsidRPr="00B950D8">
        <w:t xml:space="preserve"> highlights a Standards of Living Index which looks at 16 indicators showing financial hardship</w:t>
      </w:r>
      <w:r>
        <w:t xml:space="preserve"> and the Table follows on the next page.</w:t>
      </w:r>
      <w:r w:rsidRPr="00B950D8">
        <w:t xml:space="preserve">  The Standards of Living Index measure the financial hardship through the 16 indicators for</w:t>
      </w:r>
      <w:r>
        <w:t>;</w:t>
      </w:r>
      <w:r w:rsidRPr="00B950D8">
        <w:t xml:space="preserve"> </w:t>
      </w:r>
    </w:p>
    <w:p w14:paraId="54DE49DE" w14:textId="0A2A0900" w:rsidR="00B950D8" w:rsidRDefault="00B950D8" w:rsidP="00B950D8">
      <w:pPr>
        <w:pStyle w:val="ListParagraph"/>
        <w:numPr>
          <w:ilvl w:val="0"/>
          <w:numId w:val="14"/>
        </w:numPr>
        <w:spacing w:after="0" w:line="240" w:lineRule="auto"/>
      </w:pPr>
      <w:r w:rsidRPr="00B950D8">
        <w:t>All Australian Households</w:t>
      </w:r>
      <w:r>
        <w:t>;</w:t>
      </w:r>
    </w:p>
    <w:p w14:paraId="44A55EF8" w14:textId="6ACF5B3A" w:rsidR="00B950D8" w:rsidRDefault="00B950D8" w:rsidP="00B950D8">
      <w:pPr>
        <w:pStyle w:val="ListParagraph"/>
        <w:numPr>
          <w:ilvl w:val="0"/>
          <w:numId w:val="14"/>
        </w:numPr>
        <w:spacing w:after="0" w:line="240" w:lineRule="auto"/>
      </w:pPr>
      <w:r w:rsidRPr="00B950D8">
        <w:t>People on the DSP</w:t>
      </w:r>
      <w:r>
        <w:t xml:space="preserve">; </w:t>
      </w:r>
    </w:p>
    <w:p w14:paraId="11DE73F2" w14:textId="409AA5B5" w:rsidR="00B950D8" w:rsidRDefault="00B950D8" w:rsidP="00B950D8">
      <w:pPr>
        <w:pStyle w:val="ListParagraph"/>
        <w:numPr>
          <w:ilvl w:val="0"/>
          <w:numId w:val="14"/>
        </w:numPr>
        <w:spacing w:after="0" w:line="240" w:lineRule="auto"/>
      </w:pPr>
      <w:r w:rsidRPr="00B950D8">
        <w:t>Indigenous Australians on the DSP</w:t>
      </w:r>
      <w:r>
        <w:t>;</w:t>
      </w:r>
    </w:p>
    <w:p w14:paraId="5DA6C1A5" w14:textId="0CE33FEE" w:rsidR="00B950D8" w:rsidRDefault="00B950D8" w:rsidP="00B950D8">
      <w:pPr>
        <w:pStyle w:val="ListParagraph"/>
        <w:numPr>
          <w:ilvl w:val="0"/>
          <w:numId w:val="14"/>
        </w:numPr>
        <w:spacing w:after="0" w:line="240" w:lineRule="auto"/>
      </w:pPr>
      <w:r w:rsidRPr="00B950D8">
        <w:t>People on the Newstart Allowance</w:t>
      </w:r>
      <w:r>
        <w:t>;</w:t>
      </w:r>
      <w:r w:rsidRPr="00B950D8">
        <w:t xml:space="preserve"> and</w:t>
      </w:r>
    </w:p>
    <w:p w14:paraId="3F938742" w14:textId="11546846" w:rsidR="00B950D8" w:rsidRPr="00B950D8" w:rsidRDefault="00B950D8" w:rsidP="00B950D8">
      <w:pPr>
        <w:spacing w:after="0" w:line="240" w:lineRule="auto"/>
        <w:ind w:firstLine="720"/>
      </w:pPr>
      <w:r w:rsidRPr="00B950D8">
        <w:t xml:space="preserve">5) </w:t>
      </w:r>
      <w:r>
        <w:t xml:space="preserve"> </w:t>
      </w:r>
      <w:r w:rsidRPr="00B950D8">
        <w:t>People on the Aged Pension.</w:t>
      </w:r>
    </w:p>
    <w:p w14:paraId="6ABE9474" w14:textId="77777777" w:rsidR="00B950D8" w:rsidRDefault="00B950D8" w:rsidP="00B950D8">
      <w:pPr>
        <w:rPr>
          <w:b/>
          <w:lang w:val="en-GB"/>
        </w:rPr>
      </w:pPr>
      <w:bookmarkStart w:id="13" w:name="_Toc17963403"/>
    </w:p>
    <w:p w14:paraId="2C5219AE" w14:textId="77777777" w:rsidR="00B950D8" w:rsidRDefault="00B950D8" w:rsidP="00B950D8">
      <w:pPr>
        <w:rPr>
          <w:b/>
          <w:lang w:val="en-GB"/>
        </w:rPr>
      </w:pPr>
    </w:p>
    <w:p w14:paraId="64B0057F" w14:textId="77777777" w:rsidR="00B950D8" w:rsidRDefault="00B950D8" w:rsidP="00B950D8">
      <w:pPr>
        <w:rPr>
          <w:b/>
          <w:lang w:val="en-GB"/>
        </w:rPr>
      </w:pPr>
    </w:p>
    <w:p w14:paraId="4FCFB872" w14:textId="77777777" w:rsidR="00B950D8" w:rsidRDefault="00B950D8" w:rsidP="00B950D8">
      <w:pPr>
        <w:rPr>
          <w:b/>
          <w:lang w:val="en-GB"/>
        </w:rPr>
      </w:pPr>
    </w:p>
    <w:p w14:paraId="6EE3C90C" w14:textId="77777777" w:rsidR="00B950D8" w:rsidRDefault="00B950D8" w:rsidP="00B950D8">
      <w:pPr>
        <w:rPr>
          <w:b/>
          <w:lang w:val="en-GB"/>
        </w:rPr>
      </w:pPr>
    </w:p>
    <w:p w14:paraId="79EF0009" w14:textId="77777777" w:rsidR="00B950D8" w:rsidRDefault="00B950D8" w:rsidP="00B950D8">
      <w:pPr>
        <w:rPr>
          <w:b/>
          <w:lang w:val="en-GB"/>
        </w:rPr>
      </w:pPr>
    </w:p>
    <w:p w14:paraId="19B8D781" w14:textId="366C360D" w:rsidR="00B950D8" w:rsidRPr="00B950D8" w:rsidRDefault="00B950D8" w:rsidP="00B950D8">
      <w:pPr>
        <w:pStyle w:val="Heading2"/>
        <w:rPr>
          <w:sz w:val="32"/>
        </w:rPr>
      </w:pPr>
      <w:bookmarkStart w:id="14" w:name="_Toc21416512"/>
      <w:r w:rsidRPr="00B950D8">
        <w:rPr>
          <w:sz w:val="32"/>
        </w:rPr>
        <w:t>Table.  Response to Standard of Living (</w:t>
      </w:r>
      <w:proofErr w:type="spellStart"/>
      <w:r w:rsidRPr="00B950D8">
        <w:rPr>
          <w:sz w:val="32"/>
        </w:rPr>
        <w:t>SoL</w:t>
      </w:r>
      <w:proofErr w:type="spellEnd"/>
      <w:r w:rsidRPr="00B950D8">
        <w:rPr>
          <w:sz w:val="32"/>
        </w:rPr>
        <w:t>) indicators</w:t>
      </w:r>
      <w:bookmarkEnd w:id="13"/>
      <w:bookmarkEnd w:id="14"/>
      <w:r w:rsidRPr="00B950D8">
        <w:rPr>
          <w:sz w:val="32"/>
        </w:rPr>
        <w:t xml:space="preserve"> </w:t>
      </w:r>
    </w:p>
    <w:tbl>
      <w:tblPr>
        <w:tblW w:w="5077" w:type="pct"/>
        <w:tblLook w:val="07E0" w:firstRow="1" w:lastRow="1" w:firstColumn="1" w:lastColumn="1" w:noHBand="1" w:noVBand="1"/>
      </w:tblPr>
      <w:tblGrid>
        <w:gridCol w:w="5550"/>
        <w:gridCol w:w="725"/>
        <w:gridCol w:w="645"/>
        <w:gridCol w:w="1283"/>
        <w:gridCol w:w="645"/>
        <w:gridCol w:w="645"/>
      </w:tblGrid>
      <w:tr w:rsidR="00B950D8" w:rsidRPr="00B950D8" w14:paraId="0F8735E4" w14:textId="77777777" w:rsidTr="004B0A83">
        <w:tc>
          <w:tcPr>
            <w:tcW w:w="2960" w:type="pct"/>
            <w:tcBorders>
              <w:top w:val="single" w:sz="4" w:space="0" w:color="auto"/>
              <w:left w:val="nil"/>
              <w:right w:val="nil"/>
            </w:tcBorders>
            <w:shd w:val="clear" w:color="auto" w:fill="8EAADB" w:themeFill="accent5" w:themeFillTint="99"/>
            <w:vAlign w:val="bottom"/>
            <w:hideMark/>
          </w:tcPr>
          <w:p w14:paraId="6330323F" w14:textId="77777777" w:rsidR="00B950D8" w:rsidRPr="00B950D8" w:rsidRDefault="00B950D8" w:rsidP="00B950D8">
            <w:pPr>
              <w:rPr>
                <w:b/>
                <w:sz w:val="20"/>
              </w:rPr>
            </w:pPr>
            <w:r w:rsidRPr="00B950D8">
              <w:rPr>
                <w:b/>
                <w:sz w:val="20"/>
              </w:rPr>
              <w:t>Variable</w:t>
            </w:r>
          </w:p>
        </w:tc>
        <w:tc>
          <w:tcPr>
            <w:tcW w:w="418" w:type="pct"/>
            <w:tcBorders>
              <w:top w:val="single" w:sz="4" w:space="0" w:color="auto"/>
              <w:left w:val="nil"/>
              <w:right w:val="nil"/>
            </w:tcBorders>
            <w:shd w:val="clear" w:color="auto" w:fill="8EAADB" w:themeFill="accent5" w:themeFillTint="99"/>
            <w:vAlign w:val="bottom"/>
            <w:hideMark/>
          </w:tcPr>
          <w:p w14:paraId="4B04988B" w14:textId="77777777" w:rsidR="00B950D8" w:rsidRPr="00B950D8" w:rsidRDefault="00B950D8" w:rsidP="00B950D8">
            <w:pPr>
              <w:rPr>
                <w:b/>
                <w:sz w:val="20"/>
              </w:rPr>
            </w:pPr>
            <w:r w:rsidRPr="00B950D8">
              <w:rPr>
                <w:b/>
                <w:sz w:val="20"/>
              </w:rPr>
              <w:t>All HHs</w:t>
            </w:r>
          </w:p>
          <w:p w14:paraId="0A5CD76E" w14:textId="77777777" w:rsidR="00B950D8" w:rsidRPr="00B950D8" w:rsidRDefault="00B950D8" w:rsidP="00B950D8">
            <w:pPr>
              <w:rPr>
                <w:b/>
                <w:sz w:val="20"/>
              </w:rPr>
            </w:pPr>
            <w:r w:rsidRPr="00B950D8">
              <w:rPr>
                <w:b/>
                <w:sz w:val="20"/>
              </w:rPr>
              <w:t>(%)</w:t>
            </w:r>
          </w:p>
        </w:tc>
        <w:tc>
          <w:tcPr>
            <w:tcW w:w="354" w:type="pct"/>
            <w:tcBorders>
              <w:top w:val="single" w:sz="4" w:space="0" w:color="auto"/>
              <w:left w:val="nil"/>
              <w:right w:val="nil"/>
            </w:tcBorders>
            <w:shd w:val="clear" w:color="auto" w:fill="8EAADB" w:themeFill="accent5" w:themeFillTint="99"/>
            <w:vAlign w:val="bottom"/>
            <w:hideMark/>
          </w:tcPr>
          <w:p w14:paraId="26C13CA7" w14:textId="77777777" w:rsidR="00B950D8" w:rsidRPr="00B950D8" w:rsidRDefault="00B950D8" w:rsidP="00B950D8">
            <w:pPr>
              <w:rPr>
                <w:b/>
                <w:sz w:val="20"/>
              </w:rPr>
            </w:pPr>
            <w:r w:rsidRPr="00B950D8">
              <w:rPr>
                <w:b/>
                <w:sz w:val="20"/>
              </w:rPr>
              <w:t>DSP</w:t>
            </w:r>
          </w:p>
          <w:p w14:paraId="5E409427" w14:textId="77777777" w:rsidR="00B950D8" w:rsidRPr="00B950D8" w:rsidRDefault="00B950D8" w:rsidP="00B950D8">
            <w:pPr>
              <w:rPr>
                <w:b/>
                <w:sz w:val="20"/>
              </w:rPr>
            </w:pPr>
            <w:r w:rsidRPr="00B950D8">
              <w:rPr>
                <w:b/>
                <w:sz w:val="20"/>
              </w:rPr>
              <w:t>(%)</w:t>
            </w:r>
          </w:p>
        </w:tc>
        <w:tc>
          <w:tcPr>
            <w:tcW w:w="541" w:type="pct"/>
            <w:tcBorders>
              <w:top w:val="single" w:sz="4" w:space="0" w:color="auto"/>
              <w:left w:val="nil"/>
              <w:right w:val="nil"/>
            </w:tcBorders>
            <w:shd w:val="clear" w:color="auto" w:fill="8EAADB" w:themeFill="accent5" w:themeFillTint="99"/>
          </w:tcPr>
          <w:p w14:paraId="55918A7A" w14:textId="3E50FFBC" w:rsidR="00B950D8" w:rsidRPr="00B950D8" w:rsidRDefault="00B950D8" w:rsidP="00B950D8">
            <w:pPr>
              <w:rPr>
                <w:b/>
                <w:sz w:val="20"/>
              </w:rPr>
            </w:pPr>
            <w:r w:rsidRPr="00B950D8">
              <w:rPr>
                <w:b/>
                <w:sz w:val="20"/>
              </w:rPr>
              <w:t>Indigenous DSP</w:t>
            </w:r>
          </w:p>
          <w:p w14:paraId="4B7A583D" w14:textId="77777777" w:rsidR="00B950D8" w:rsidRPr="00B950D8" w:rsidRDefault="00B950D8" w:rsidP="00B950D8">
            <w:pPr>
              <w:rPr>
                <w:b/>
                <w:sz w:val="20"/>
              </w:rPr>
            </w:pPr>
            <w:r w:rsidRPr="00B950D8">
              <w:rPr>
                <w:b/>
                <w:sz w:val="20"/>
              </w:rPr>
              <w:t>(%)</w:t>
            </w:r>
          </w:p>
        </w:tc>
        <w:tc>
          <w:tcPr>
            <w:tcW w:w="355" w:type="pct"/>
            <w:tcBorders>
              <w:top w:val="single" w:sz="4" w:space="0" w:color="auto"/>
              <w:left w:val="nil"/>
              <w:right w:val="nil"/>
            </w:tcBorders>
            <w:shd w:val="clear" w:color="auto" w:fill="8EAADB" w:themeFill="accent5" w:themeFillTint="99"/>
            <w:vAlign w:val="bottom"/>
            <w:hideMark/>
          </w:tcPr>
          <w:p w14:paraId="2F9807E9" w14:textId="77777777" w:rsidR="00B950D8" w:rsidRPr="00B950D8" w:rsidRDefault="00B950D8" w:rsidP="00B950D8">
            <w:pPr>
              <w:rPr>
                <w:b/>
                <w:sz w:val="20"/>
              </w:rPr>
            </w:pPr>
            <w:r w:rsidRPr="00B950D8">
              <w:rPr>
                <w:b/>
                <w:sz w:val="20"/>
              </w:rPr>
              <w:t>NSA</w:t>
            </w:r>
          </w:p>
          <w:p w14:paraId="767430C3" w14:textId="77777777" w:rsidR="00B950D8" w:rsidRPr="00B950D8" w:rsidRDefault="00B950D8" w:rsidP="00B950D8">
            <w:pPr>
              <w:rPr>
                <w:b/>
                <w:sz w:val="20"/>
              </w:rPr>
            </w:pPr>
            <w:r w:rsidRPr="00B950D8">
              <w:rPr>
                <w:b/>
                <w:sz w:val="20"/>
              </w:rPr>
              <w:t>(%)</w:t>
            </w:r>
          </w:p>
        </w:tc>
        <w:tc>
          <w:tcPr>
            <w:tcW w:w="373" w:type="pct"/>
            <w:tcBorders>
              <w:top w:val="single" w:sz="4" w:space="0" w:color="auto"/>
              <w:left w:val="nil"/>
              <w:right w:val="nil"/>
            </w:tcBorders>
            <w:shd w:val="clear" w:color="auto" w:fill="8EAADB" w:themeFill="accent5" w:themeFillTint="99"/>
            <w:vAlign w:val="bottom"/>
            <w:hideMark/>
          </w:tcPr>
          <w:p w14:paraId="627F8EBE" w14:textId="77777777" w:rsidR="00B950D8" w:rsidRPr="00B950D8" w:rsidRDefault="00B950D8" w:rsidP="00B950D8">
            <w:pPr>
              <w:rPr>
                <w:b/>
                <w:sz w:val="20"/>
              </w:rPr>
            </w:pPr>
            <w:r w:rsidRPr="00B950D8">
              <w:rPr>
                <w:b/>
                <w:sz w:val="20"/>
              </w:rPr>
              <w:t>AP</w:t>
            </w:r>
          </w:p>
          <w:p w14:paraId="5293EA0F" w14:textId="77777777" w:rsidR="00B950D8" w:rsidRPr="00B950D8" w:rsidRDefault="00B950D8" w:rsidP="00B950D8">
            <w:pPr>
              <w:rPr>
                <w:b/>
                <w:sz w:val="20"/>
              </w:rPr>
            </w:pPr>
            <w:r w:rsidRPr="00B950D8">
              <w:rPr>
                <w:b/>
                <w:sz w:val="20"/>
              </w:rPr>
              <w:t>(%)</w:t>
            </w:r>
          </w:p>
        </w:tc>
      </w:tr>
      <w:tr w:rsidR="00B950D8" w:rsidRPr="00B950D8" w14:paraId="6A7A5C61" w14:textId="77777777" w:rsidTr="004B0A83">
        <w:tc>
          <w:tcPr>
            <w:tcW w:w="2960" w:type="pct"/>
            <w:tcBorders>
              <w:top w:val="single" w:sz="4" w:space="0" w:color="auto"/>
            </w:tcBorders>
            <w:hideMark/>
          </w:tcPr>
          <w:p w14:paraId="512B29A5" w14:textId="77777777" w:rsidR="00B950D8" w:rsidRPr="00B950D8" w:rsidRDefault="00B950D8" w:rsidP="00B950D8">
            <w:pPr>
              <w:rPr>
                <w:sz w:val="22"/>
              </w:rPr>
            </w:pPr>
            <w:r w:rsidRPr="00B950D8">
              <w:rPr>
                <w:sz w:val="22"/>
              </w:rPr>
              <w:t>Can’t afford to buy new clothes most of the time</w:t>
            </w:r>
          </w:p>
        </w:tc>
        <w:tc>
          <w:tcPr>
            <w:tcW w:w="418" w:type="pct"/>
            <w:tcBorders>
              <w:top w:val="single" w:sz="4" w:space="0" w:color="auto"/>
            </w:tcBorders>
            <w:hideMark/>
          </w:tcPr>
          <w:p w14:paraId="7FE97328" w14:textId="77777777" w:rsidR="00B950D8" w:rsidRPr="00B950D8" w:rsidRDefault="00B950D8" w:rsidP="00B950D8">
            <w:pPr>
              <w:rPr>
                <w:sz w:val="22"/>
              </w:rPr>
            </w:pPr>
            <w:r w:rsidRPr="00B950D8">
              <w:rPr>
                <w:sz w:val="22"/>
              </w:rPr>
              <w:t>11.0</w:t>
            </w:r>
          </w:p>
        </w:tc>
        <w:tc>
          <w:tcPr>
            <w:tcW w:w="354" w:type="pct"/>
            <w:tcBorders>
              <w:top w:val="single" w:sz="4" w:space="0" w:color="auto"/>
            </w:tcBorders>
            <w:shd w:val="clear" w:color="auto" w:fill="FFFF99"/>
            <w:hideMark/>
          </w:tcPr>
          <w:p w14:paraId="39F3CC07" w14:textId="77777777" w:rsidR="00B950D8" w:rsidRPr="00B950D8" w:rsidRDefault="00B950D8" w:rsidP="00B950D8">
            <w:pPr>
              <w:rPr>
                <w:sz w:val="22"/>
              </w:rPr>
            </w:pPr>
            <w:r w:rsidRPr="00B950D8">
              <w:rPr>
                <w:sz w:val="22"/>
              </w:rPr>
              <w:t>28.5</w:t>
            </w:r>
          </w:p>
        </w:tc>
        <w:tc>
          <w:tcPr>
            <w:tcW w:w="541" w:type="pct"/>
            <w:tcBorders>
              <w:top w:val="single" w:sz="4" w:space="0" w:color="auto"/>
            </w:tcBorders>
            <w:shd w:val="clear" w:color="auto" w:fill="auto"/>
          </w:tcPr>
          <w:p w14:paraId="58E7042E" w14:textId="77777777" w:rsidR="00B950D8" w:rsidRPr="00B950D8" w:rsidRDefault="00B950D8" w:rsidP="00B950D8">
            <w:pPr>
              <w:rPr>
                <w:sz w:val="22"/>
              </w:rPr>
            </w:pPr>
            <w:r w:rsidRPr="00B950D8">
              <w:rPr>
                <w:sz w:val="22"/>
              </w:rPr>
              <w:t>-</w:t>
            </w:r>
          </w:p>
        </w:tc>
        <w:tc>
          <w:tcPr>
            <w:tcW w:w="355" w:type="pct"/>
            <w:tcBorders>
              <w:top w:val="single" w:sz="4" w:space="0" w:color="auto"/>
            </w:tcBorders>
            <w:shd w:val="clear" w:color="auto" w:fill="A8D08D" w:themeFill="accent6" w:themeFillTint="99"/>
            <w:hideMark/>
          </w:tcPr>
          <w:p w14:paraId="3198382C" w14:textId="77777777" w:rsidR="00B950D8" w:rsidRPr="00B950D8" w:rsidRDefault="00B950D8" w:rsidP="00B950D8">
            <w:pPr>
              <w:rPr>
                <w:sz w:val="22"/>
              </w:rPr>
            </w:pPr>
            <w:r w:rsidRPr="00B950D8">
              <w:rPr>
                <w:sz w:val="22"/>
              </w:rPr>
              <w:t>48.0</w:t>
            </w:r>
          </w:p>
        </w:tc>
        <w:tc>
          <w:tcPr>
            <w:tcW w:w="373" w:type="pct"/>
            <w:tcBorders>
              <w:top w:val="single" w:sz="4" w:space="0" w:color="auto"/>
            </w:tcBorders>
            <w:hideMark/>
          </w:tcPr>
          <w:p w14:paraId="37AFB332" w14:textId="77777777" w:rsidR="00B950D8" w:rsidRPr="00B950D8" w:rsidRDefault="00B950D8" w:rsidP="00B950D8">
            <w:pPr>
              <w:rPr>
                <w:sz w:val="22"/>
              </w:rPr>
            </w:pPr>
            <w:r w:rsidRPr="00B950D8">
              <w:rPr>
                <w:sz w:val="22"/>
              </w:rPr>
              <w:t>10.7</w:t>
            </w:r>
          </w:p>
        </w:tc>
      </w:tr>
      <w:tr w:rsidR="00B950D8" w:rsidRPr="00B950D8" w14:paraId="297525B3" w14:textId="77777777" w:rsidTr="004B0A83">
        <w:tc>
          <w:tcPr>
            <w:tcW w:w="2960" w:type="pct"/>
            <w:hideMark/>
          </w:tcPr>
          <w:p w14:paraId="7336DF8F" w14:textId="77777777" w:rsidR="00B950D8" w:rsidRPr="00B950D8" w:rsidRDefault="00B950D8" w:rsidP="00B950D8">
            <w:pPr>
              <w:rPr>
                <w:sz w:val="22"/>
              </w:rPr>
            </w:pPr>
            <w:r w:rsidRPr="00B950D8">
              <w:rPr>
                <w:sz w:val="22"/>
              </w:rPr>
              <w:t>Can’t afford to spend time on leisure or hobby activities</w:t>
            </w:r>
          </w:p>
        </w:tc>
        <w:tc>
          <w:tcPr>
            <w:tcW w:w="418" w:type="pct"/>
            <w:hideMark/>
          </w:tcPr>
          <w:p w14:paraId="1B2B677D" w14:textId="77777777" w:rsidR="00B950D8" w:rsidRPr="00B950D8" w:rsidRDefault="00B950D8" w:rsidP="00B950D8">
            <w:pPr>
              <w:rPr>
                <w:sz w:val="22"/>
              </w:rPr>
            </w:pPr>
            <w:r w:rsidRPr="00B950D8">
              <w:rPr>
                <w:sz w:val="22"/>
              </w:rPr>
              <w:t>10.4</w:t>
            </w:r>
          </w:p>
        </w:tc>
        <w:tc>
          <w:tcPr>
            <w:tcW w:w="354" w:type="pct"/>
            <w:shd w:val="clear" w:color="auto" w:fill="FFFF99"/>
            <w:hideMark/>
          </w:tcPr>
          <w:p w14:paraId="6B2DE7AC" w14:textId="77777777" w:rsidR="00B950D8" w:rsidRPr="00B950D8" w:rsidRDefault="00B950D8" w:rsidP="00B950D8">
            <w:pPr>
              <w:rPr>
                <w:sz w:val="22"/>
              </w:rPr>
            </w:pPr>
            <w:r w:rsidRPr="00B950D8">
              <w:rPr>
                <w:sz w:val="22"/>
              </w:rPr>
              <w:t>27.0</w:t>
            </w:r>
          </w:p>
        </w:tc>
        <w:tc>
          <w:tcPr>
            <w:tcW w:w="541" w:type="pct"/>
            <w:shd w:val="clear" w:color="auto" w:fill="auto"/>
          </w:tcPr>
          <w:p w14:paraId="5B1D9357" w14:textId="77777777" w:rsidR="00B950D8" w:rsidRPr="00B950D8" w:rsidRDefault="00B950D8" w:rsidP="00B950D8">
            <w:pPr>
              <w:rPr>
                <w:sz w:val="22"/>
              </w:rPr>
            </w:pPr>
            <w:r w:rsidRPr="00B950D8">
              <w:rPr>
                <w:sz w:val="22"/>
              </w:rPr>
              <w:t>-</w:t>
            </w:r>
          </w:p>
        </w:tc>
        <w:tc>
          <w:tcPr>
            <w:tcW w:w="355" w:type="pct"/>
            <w:shd w:val="clear" w:color="auto" w:fill="A8D08D" w:themeFill="accent6" w:themeFillTint="99"/>
            <w:hideMark/>
          </w:tcPr>
          <w:p w14:paraId="18AA5324" w14:textId="77777777" w:rsidR="00B950D8" w:rsidRPr="00B950D8" w:rsidRDefault="00B950D8" w:rsidP="00B950D8">
            <w:pPr>
              <w:rPr>
                <w:sz w:val="22"/>
              </w:rPr>
            </w:pPr>
            <w:r w:rsidRPr="00B950D8">
              <w:rPr>
                <w:sz w:val="22"/>
              </w:rPr>
              <w:t>44.5</w:t>
            </w:r>
          </w:p>
        </w:tc>
        <w:tc>
          <w:tcPr>
            <w:tcW w:w="373" w:type="pct"/>
            <w:hideMark/>
          </w:tcPr>
          <w:p w14:paraId="59443A15" w14:textId="77777777" w:rsidR="00B950D8" w:rsidRPr="00B950D8" w:rsidRDefault="00B950D8" w:rsidP="00B950D8">
            <w:pPr>
              <w:rPr>
                <w:sz w:val="22"/>
              </w:rPr>
            </w:pPr>
            <w:r w:rsidRPr="00B950D8">
              <w:rPr>
                <w:sz w:val="22"/>
              </w:rPr>
              <w:t>10.2</w:t>
            </w:r>
          </w:p>
        </w:tc>
      </w:tr>
      <w:tr w:rsidR="00B950D8" w:rsidRPr="00B950D8" w14:paraId="060FA5F9" w14:textId="77777777" w:rsidTr="004B0A83">
        <w:tc>
          <w:tcPr>
            <w:tcW w:w="2960" w:type="pct"/>
            <w:hideMark/>
          </w:tcPr>
          <w:p w14:paraId="0E34175A" w14:textId="77777777" w:rsidR="00B950D8" w:rsidRPr="00B950D8" w:rsidRDefault="00B950D8" w:rsidP="00B950D8">
            <w:pPr>
              <w:rPr>
                <w:sz w:val="22"/>
              </w:rPr>
            </w:pPr>
            <w:r w:rsidRPr="00B950D8">
              <w:rPr>
                <w:sz w:val="22"/>
              </w:rPr>
              <w:t>Can’t afford a holiday away from home for at least 1 week a year</w:t>
            </w:r>
          </w:p>
        </w:tc>
        <w:tc>
          <w:tcPr>
            <w:tcW w:w="418" w:type="pct"/>
            <w:hideMark/>
          </w:tcPr>
          <w:p w14:paraId="7F708A91" w14:textId="77777777" w:rsidR="00B950D8" w:rsidRPr="00B950D8" w:rsidRDefault="00B950D8" w:rsidP="00B950D8">
            <w:pPr>
              <w:rPr>
                <w:sz w:val="22"/>
              </w:rPr>
            </w:pPr>
            <w:r w:rsidRPr="00B950D8">
              <w:rPr>
                <w:sz w:val="22"/>
              </w:rPr>
              <w:t>22.6</w:t>
            </w:r>
          </w:p>
        </w:tc>
        <w:tc>
          <w:tcPr>
            <w:tcW w:w="354" w:type="pct"/>
            <w:shd w:val="clear" w:color="auto" w:fill="FFFF99"/>
            <w:hideMark/>
          </w:tcPr>
          <w:p w14:paraId="1B80E9B2" w14:textId="77777777" w:rsidR="00B950D8" w:rsidRPr="00B950D8" w:rsidRDefault="00B950D8" w:rsidP="00B950D8">
            <w:pPr>
              <w:rPr>
                <w:sz w:val="22"/>
              </w:rPr>
            </w:pPr>
            <w:r w:rsidRPr="00B950D8">
              <w:rPr>
                <w:sz w:val="22"/>
              </w:rPr>
              <w:t>46.3</w:t>
            </w:r>
          </w:p>
        </w:tc>
        <w:tc>
          <w:tcPr>
            <w:tcW w:w="541" w:type="pct"/>
            <w:shd w:val="clear" w:color="auto" w:fill="auto"/>
          </w:tcPr>
          <w:p w14:paraId="3B91FF72" w14:textId="77777777" w:rsidR="00B950D8" w:rsidRPr="00B950D8" w:rsidRDefault="00B950D8" w:rsidP="00B950D8">
            <w:pPr>
              <w:rPr>
                <w:sz w:val="22"/>
              </w:rPr>
            </w:pPr>
            <w:r w:rsidRPr="00B950D8">
              <w:rPr>
                <w:sz w:val="22"/>
              </w:rPr>
              <w:t>-</w:t>
            </w:r>
          </w:p>
        </w:tc>
        <w:tc>
          <w:tcPr>
            <w:tcW w:w="355" w:type="pct"/>
            <w:shd w:val="clear" w:color="auto" w:fill="FFFF99"/>
            <w:hideMark/>
          </w:tcPr>
          <w:p w14:paraId="6B019194" w14:textId="77777777" w:rsidR="00B950D8" w:rsidRPr="00B950D8" w:rsidRDefault="00B950D8" w:rsidP="00B950D8">
            <w:pPr>
              <w:rPr>
                <w:sz w:val="22"/>
              </w:rPr>
            </w:pPr>
            <w:r w:rsidRPr="00B950D8">
              <w:rPr>
                <w:sz w:val="22"/>
              </w:rPr>
              <w:t>66.2</w:t>
            </w:r>
          </w:p>
        </w:tc>
        <w:tc>
          <w:tcPr>
            <w:tcW w:w="373" w:type="pct"/>
            <w:hideMark/>
          </w:tcPr>
          <w:p w14:paraId="363ABA73" w14:textId="77777777" w:rsidR="00B950D8" w:rsidRPr="00B950D8" w:rsidRDefault="00B950D8" w:rsidP="00B950D8">
            <w:pPr>
              <w:rPr>
                <w:sz w:val="22"/>
              </w:rPr>
            </w:pPr>
            <w:r w:rsidRPr="00B950D8">
              <w:rPr>
                <w:sz w:val="22"/>
              </w:rPr>
              <w:t>25.4</w:t>
            </w:r>
          </w:p>
        </w:tc>
      </w:tr>
      <w:tr w:rsidR="00B950D8" w:rsidRPr="00B950D8" w14:paraId="45E03CF3" w14:textId="77777777" w:rsidTr="004B0A83">
        <w:tc>
          <w:tcPr>
            <w:tcW w:w="2960" w:type="pct"/>
            <w:hideMark/>
          </w:tcPr>
          <w:p w14:paraId="215EECEB" w14:textId="77777777" w:rsidR="00B950D8" w:rsidRPr="00B950D8" w:rsidRDefault="00B950D8" w:rsidP="00B950D8">
            <w:pPr>
              <w:rPr>
                <w:sz w:val="22"/>
              </w:rPr>
            </w:pPr>
            <w:r w:rsidRPr="00B950D8">
              <w:rPr>
                <w:sz w:val="22"/>
              </w:rPr>
              <w:t>Can’t afford to have a night out once a fortnight</w:t>
            </w:r>
          </w:p>
        </w:tc>
        <w:tc>
          <w:tcPr>
            <w:tcW w:w="418" w:type="pct"/>
            <w:hideMark/>
          </w:tcPr>
          <w:p w14:paraId="51B3B455" w14:textId="77777777" w:rsidR="00B950D8" w:rsidRPr="00B950D8" w:rsidRDefault="00B950D8" w:rsidP="00B950D8">
            <w:pPr>
              <w:rPr>
                <w:sz w:val="22"/>
              </w:rPr>
            </w:pPr>
            <w:r w:rsidRPr="00B950D8">
              <w:rPr>
                <w:sz w:val="22"/>
              </w:rPr>
              <w:t>16.6</w:t>
            </w:r>
          </w:p>
        </w:tc>
        <w:tc>
          <w:tcPr>
            <w:tcW w:w="354" w:type="pct"/>
            <w:shd w:val="clear" w:color="auto" w:fill="FFFF99"/>
            <w:hideMark/>
          </w:tcPr>
          <w:p w14:paraId="761A0D39" w14:textId="77777777" w:rsidR="00B950D8" w:rsidRPr="00B950D8" w:rsidRDefault="00B950D8" w:rsidP="00B950D8">
            <w:pPr>
              <w:rPr>
                <w:sz w:val="22"/>
              </w:rPr>
            </w:pPr>
            <w:r w:rsidRPr="00B950D8">
              <w:rPr>
                <w:sz w:val="22"/>
              </w:rPr>
              <w:t>39.0</w:t>
            </w:r>
          </w:p>
        </w:tc>
        <w:tc>
          <w:tcPr>
            <w:tcW w:w="541" w:type="pct"/>
            <w:shd w:val="clear" w:color="auto" w:fill="auto"/>
          </w:tcPr>
          <w:p w14:paraId="607A3692" w14:textId="77777777" w:rsidR="00B950D8" w:rsidRPr="00B950D8" w:rsidRDefault="00B950D8" w:rsidP="00B950D8">
            <w:pPr>
              <w:rPr>
                <w:sz w:val="22"/>
              </w:rPr>
            </w:pPr>
            <w:r w:rsidRPr="00B950D8">
              <w:rPr>
                <w:sz w:val="22"/>
              </w:rPr>
              <w:t>-</w:t>
            </w:r>
          </w:p>
        </w:tc>
        <w:tc>
          <w:tcPr>
            <w:tcW w:w="355" w:type="pct"/>
            <w:shd w:val="clear" w:color="auto" w:fill="A8D08D" w:themeFill="accent6" w:themeFillTint="99"/>
            <w:hideMark/>
          </w:tcPr>
          <w:p w14:paraId="4B8C6A69" w14:textId="77777777" w:rsidR="00B950D8" w:rsidRPr="00B950D8" w:rsidRDefault="00B950D8" w:rsidP="00B950D8">
            <w:pPr>
              <w:rPr>
                <w:sz w:val="22"/>
              </w:rPr>
            </w:pPr>
            <w:r w:rsidRPr="00B950D8">
              <w:rPr>
                <w:sz w:val="22"/>
              </w:rPr>
              <w:t>54.8</w:t>
            </w:r>
          </w:p>
        </w:tc>
        <w:tc>
          <w:tcPr>
            <w:tcW w:w="373" w:type="pct"/>
            <w:hideMark/>
          </w:tcPr>
          <w:p w14:paraId="64DB2325" w14:textId="77777777" w:rsidR="00B950D8" w:rsidRPr="00B950D8" w:rsidRDefault="00B950D8" w:rsidP="00B950D8">
            <w:pPr>
              <w:rPr>
                <w:sz w:val="22"/>
              </w:rPr>
            </w:pPr>
            <w:r w:rsidRPr="00B950D8">
              <w:rPr>
                <w:sz w:val="22"/>
              </w:rPr>
              <w:t>18.1</w:t>
            </w:r>
          </w:p>
        </w:tc>
      </w:tr>
      <w:tr w:rsidR="00B950D8" w:rsidRPr="00B950D8" w14:paraId="40BF39DC" w14:textId="77777777" w:rsidTr="004B0A83">
        <w:tc>
          <w:tcPr>
            <w:tcW w:w="2960" w:type="pct"/>
            <w:hideMark/>
          </w:tcPr>
          <w:p w14:paraId="468F0F71" w14:textId="77777777" w:rsidR="00B950D8" w:rsidRPr="00B950D8" w:rsidRDefault="00B950D8" w:rsidP="00B950D8">
            <w:pPr>
              <w:rPr>
                <w:sz w:val="22"/>
              </w:rPr>
            </w:pPr>
            <w:r w:rsidRPr="00B950D8">
              <w:rPr>
                <w:sz w:val="22"/>
              </w:rPr>
              <w:t>Can’t afford to have friends or family over for a meal once a month</w:t>
            </w:r>
          </w:p>
        </w:tc>
        <w:tc>
          <w:tcPr>
            <w:tcW w:w="418" w:type="pct"/>
            <w:hideMark/>
          </w:tcPr>
          <w:p w14:paraId="795041BB" w14:textId="77777777" w:rsidR="00B950D8" w:rsidRPr="00B950D8" w:rsidRDefault="00B950D8" w:rsidP="00B950D8">
            <w:pPr>
              <w:rPr>
                <w:sz w:val="22"/>
              </w:rPr>
            </w:pPr>
            <w:r w:rsidRPr="00B950D8">
              <w:rPr>
                <w:sz w:val="22"/>
              </w:rPr>
              <w:t>7.3</w:t>
            </w:r>
          </w:p>
        </w:tc>
        <w:tc>
          <w:tcPr>
            <w:tcW w:w="354" w:type="pct"/>
            <w:shd w:val="clear" w:color="auto" w:fill="A8D08D" w:themeFill="accent6" w:themeFillTint="99"/>
            <w:hideMark/>
          </w:tcPr>
          <w:p w14:paraId="16F6A16A" w14:textId="77777777" w:rsidR="00B950D8" w:rsidRPr="00B950D8" w:rsidRDefault="00B950D8" w:rsidP="00B950D8">
            <w:pPr>
              <w:rPr>
                <w:sz w:val="22"/>
              </w:rPr>
            </w:pPr>
            <w:r w:rsidRPr="00B950D8">
              <w:rPr>
                <w:sz w:val="22"/>
              </w:rPr>
              <w:t>23.6</w:t>
            </w:r>
          </w:p>
        </w:tc>
        <w:tc>
          <w:tcPr>
            <w:tcW w:w="541" w:type="pct"/>
            <w:shd w:val="clear" w:color="auto" w:fill="auto"/>
          </w:tcPr>
          <w:p w14:paraId="0E9B2A5D" w14:textId="77777777" w:rsidR="00B950D8" w:rsidRPr="00B950D8" w:rsidRDefault="00B950D8" w:rsidP="00B950D8">
            <w:pPr>
              <w:rPr>
                <w:sz w:val="22"/>
              </w:rPr>
            </w:pPr>
            <w:r w:rsidRPr="00B950D8">
              <w:rPr>
                <w:sz w:val="22"/>
              </w:rPr>
              <w:t>-</w:t>
            </w:r>
          </w:p>
        </w:tc>
        <w:tc>
          <w:tcPr>
            <w:tcW w:w="355" w:type="pct"/>
            <w:shd w:val="clear" w:color="auto" w:fill="A8D08D" w:themeFill="accent6" w:themeFillTint="99"/>
            <w:hideMark/>
          </w:tcPr>
          <w:p w14:paraId="71B4F6DE" w14:textId="77777777" w:rsidR="00B950D8" w:rsidRPr="00B950D8" w:rsidRDefault="00B950D8" w:rsidP="00B950D8">
            <w:pPr>
              <w:rPr>
                <w:sz w:val="22"/>
              </w:rPr>
            </w:pPr>
            <w:r w:rsidRPr="00B950D8">
              <w:rPr>
                <w:sz w:val="22"/>
              </w:rPr>
              <w:t>27.7</w:t>
            </w:r>
          </w:p>
        </w:tc>
        <w:tc>
          <w:tcPr>
            <w:tcW w:w="373" w:type="pct"/>
            <w:hideMark/>
          </w:tcPr>
          <w:p w14:paraId="466F8E9F" w14:textId="77777777" w:rsidR="00B950D8" w:rsidRPr="00B950D8" w:rsidRDefault="00B950D8" w:rsidP="00B950D8">
            <w:pPr>
              <w:rPr>
                <w:sz w:val="22"/>
              </w:rPr>
            </w:pPr>
            <w:r w:rsidRPr="00B950D8">
              <w:rPr>
                <w:sz w:val="22"/>
              </w:rPr>
              <w:t>9.0</w:t>
            </w:r>
          </w:p>
        </w:tc>
      </w:tr>
      <w:tr w:rsidR="00B950D8" w:rsidRPr="00B950D8" w14:paraId="7D0B9D48" w14:textId="77777777" w:rsidTr="004B0A83">
        <w:tc>
          <w:tcPr>
            <w:tcW w:w="2960" w:type="pct"/>
            <w:hideMark/>
          </w:tcPr>
          <w:p w14:paraId="031B8D6F" w14:textId="77777777" w:rsidR="00B950D8" w:rsidRPr="00B950D8" w:rsidRDefault="00B950D8" w:rsidP="00B950D8">
            <w:pPr>
              <w:rPr>
                <w:sz w:val="22"/>
              </w:rPr>
            </w:pPr>
            <w:r w:rsidRPr="00B950D8">
              <w:rPr>
                <w:sz w:val="22"/>
              </w:rPr>
              <w:t>Can’t afford to have a special meal once a week</w:t>
            </w:r>
          </w:p>
        </w:tc>
        <w:tc>
          <w:tcPr>
            <w:tcW w:w="418" w:type="pct"/>
            <w:hideMark/>
          </w:tcPr>
          <w:p w14:paraId="530D8D00" w14:textId="77777777" w:rsidR="00B950D8" w:rsidRPr="00B950D8" w:rsidRDefault="00B950D8" w:rsidP="00B950D8">
            <w:pPr>
              <w:rPr>
                <w:sz w:val="22"/>
              </w:rPr>
            </w:pPr>
            <w:r w:rsidRPr="00B950D8">
              <w:rPr>
                <w:sz w:val="22"/>
              </w:rPr>
              <w:t>11.9</w:t>
            </w:r>
          </w:p>
        </w:tc>
        <w:tc>
          <w:tcPr>
            <w:tcW w:w="354" w:type="pct"/>
            <w:shd w:val="clear" w:color="auto" w:fill="FFFF99"/>
            <w:hideMark/>
          </w:tcPr>
          <w:p w14:paraId="49E72340" w14:textId="77777777" w:rsidR="00B950D8" w:rsidRPr="00B950D8" w:rsidRDefault="00B950D8" w:rsidP="00B950D8">
            <w:pPr>
              <w:rPr>
                <w:sz w:val="22"/>
              </w:rPr>
            </w:pPr>
            <w:r w:rsidRPr="00B950D8">
              <w:rPr>
                <w:sz w:val="22"/>
              </w:rPr>
              <w:t>29.6</w:t>
            </w:r>
          </w:p>
        </w:tc>
        <w:tc>
          <w:tcPr>
            <w:tcW w:w="541" w:type="pct"/>
            <w:shd w:val="clear" w:color="auto" w:fill="auto"/>
          </w:tcPr>
          <w:p w14:paraId="43402E75" w14:textId="77777777" w:rsidR="00B950D8" w:rsidRPr="00B950D8" w:rsidRDefault="00B950D8" w:rsidP="00B950D8">
            <w:pPr>
              <w:rPr>
                <w:sz w:val="22"/>
              </w:rPr>
            </w:pPr>
            <w:r w:rsidRPr="00B950D8">
              <w:rPr>
                <w:sz w:val="22"/>
              </w:rPr>
              <w:t>-</w:t>
            </w:r>
          </w:p>
        </w:tc>
        <w:tc>
          <w:tcPr>
            <w:tcW w:w="355" w:type="pct"/>
            <w:shd w:val="clear" w:color="auto" w:fill="A8D08D" w:themeFill="accent6" w:themeFillTint="99"/>
            <w:hideMark/>
          </w:tcPr>
          <w:p w14:paraId="1043210A" w14:textId="77777777" w:rsidR="00B950D8" w:rsidRPr="00B950D8" w:rsidRDefault="00B950D8" w:rsidP="00B950D8">
            <w:pPr>
              <w:rPr>
                <w:sz w:val="22"/>
              </w:rPr>
            </w:pPr>
            <w:r w:rsidRPr="00B950D8">
              <w:rPr>
                <w:sz w:val="22"/>
              </w:rPr>
              <w:t>46.8</w:t>
            </w:r>
          </w:p>
        </w:tc>
        <w:tc>
          <w:tcPr>
            <w:tcW w:w="373" w:type="pct"/>
            <w:hideMark/>
          </w:tcPr>
          <w:p w14:paraId="7A572AA3" w14:textId="77777777" w:rsidR="00B950D8" w:rsidRPr="00B950D8" w:rsidRDefault="00B950D8" w:rsidP="00B950D8">
            <w:pPr>
              <w:rPr>
                <w:sz w:val="22"/>
              </w:rPr>
            </w:pPr>
            <w:r w:rsidRPr="00B950D8">
              <w:rPr>
                <w:sz w:val="22"/>
              </w:rPr>
              <w:t>12.1</w:t>
            </w:r>
          </w:p>
        </w:tc>
      </w:tr>
      <w:tr w:rsidR="00B950D8" w:rsidRPr="00B950D8" w14:paraId="5E3121DA" w14:textId="77777777" w:rsidTr="004B0A83">
        <w:tc>
          <w:tcPr>
            <w:tcW w:w="2960" w:type="pct"/>
            <w:hideMark/>
          </w:tcPr>
          <w:p w14:paraId="419DCCEA" w14:textId="77777777" w:rsidR="00B950D8" w:rsidRPr="00B950D8" w:rsidRDefault="00B950D8" w:rsidP="00B950D8">
            <w:pPr>
              <w:rPr>
                <w:sz w:val="22"/>
              </w:rPr>
            </w:pPr>
            <w:r w:rsidRPr="00B950D8">
              <w:rPr>
                <w:sz w:val="22"/>
              </w:rPr>
              <w:t>Couldn’t pay fuel/telephone bill on time due to money shortage</w:t>
            </w:r>
          </w:p>
        </w:tc>
        <w:tc>
          <w:tcPr>
            <w:tcW w:w="418" w:type="pct"/>
            <w:hideMark/>
          </w:tcPr>
          <w:p w14:paraId="5DCB0D4A" w14:textId="77777777" w:rsidR="00B950D8" w:rsidRPr="00B950D8" w:rsidRDefault="00B950D8" w:rsidP="00B950D8">
            <w:pPr>
              <w:rPr>
                <w:sz w:val="22"/>
              </w:rPr>
            </w:pPr>
            <w:r w:rsidRPr="00B950D8">
              <w:rPr>
                <w:sz w:val="22"/>
              </w:rPr>
              <w:t>9.7</w:t>
            </w:r>
          </w:p>
        </w:tc>
        <w:tc>
          <w:tcPr>
            <w:tcW w:w="354" w:type="pct"/>
            <w:hideMark/>
          </w:tcPr>
          <w:p w14:paraId="51C9B962" w14:textId="77777777" w:rsidR="00B950D8" w:rsidRPr="00B950D8" w:rsidRDefault="00B950D8" w:rsidP="00B950D8">
            <w:pPr>
              <w:rPr>
                <w:sz w:val="22"/>
              </w:rPr>
            </w:pPr>
            <w:r w:rsidRPr="00B950D8">
              <w:rPr>
                <w:sz w:val="22"/>
              </w:rPr>
              <w:t>18.9</w:t>
            </w:r>
          </w:p>
        </w:tc>
        <w:tc>
          <w:tcPr>
            <w:tcW w:w="541" w:type="pct"/>
            <w:shd w:val="clear" w:color="auto" w:fill="FFFF99"/>
          </w:tcPr>
          <w:p w14:paraId="42D9B4DA" w14:textId="77777777" w:rsidR="00B950D8" w:rsidRPr="00B950D8" w:rsidRDefault="00B950D8" w:rsidP="00B950D8">
            <w:pPr>
              <w:rPr>
                <w:sz w:val="22"/>
              </w:rPr>
            </w:pPr>
            <w:r w:rsidRPr="00B950D8">
              <w:rPr>
                <w:sz w:val="22"/>
              </w:rPr>
              <w:t>26.8</w:t>
            </w:r>
          </w:p>
        </w:tc>
        <w:tc>
          <w:tcPr>
            <w:tcW w:w="355" w:type="pct"/>
            <w:shd w:val="clear" w:color="auto" w:fill="A8D08D" w:themeFill="accent6" w:themeFillTint="99"/>
            <w:hideMark/>
          </w:tcPr>
          <w:p w14:paraId="34FBD747" w14:textId="77777777" w:rsidR="00B950D8" w:rsidRPr="00B950D8" w:rsidRDefault="00B950D8" w:rsidP="00B950D8">
            <w:pPr>
              <w:rPr>
                <w:sz w:val="22"/>
              </w:rPr>
            </w:pPr>
            <w:r w:rsidRPr="00B950D8">
              <w:rPr>
                <w:sz w:val="22"/>
              </w:rPr>
              <w:t>31.4</w:t>
            </w:r>
          </w:p>
        </w:tc>
        <w:tc>
          <w:tcPr>
            <w:tcW w:w="373" w:type="pct"/>
            <w:hideMark/>
          </w:tcPr>
          <w:p w14:paraId="3C7E8E98" w14:textId="77777777" w:rsidR="00B950D8" w:rsidRPr="00B950D8" w:rsidRDefault="00B950D8" w:rsidP="00B950D8">
            <w:pPr>
              <w:rPr>
                <w:sz w:val="22"/>
              </w:rPr>
            </w:pPr>
            <w:r w:rsidRPr="00B950D8">
              <w:rPr>
                <w:sz w:val="22"/>
              </w:rPr>
              <w:t>4.8</w:t>
            </w:r>
          </w:p>
        </w:tc>
      </w:tr>
      <w:tr w:rsidR="00B950D8" w:rsidRPr="00B950D8" w14:paraId="38232966" w14:textId="77777777" w:rsidTr="004B0A83">
        <w:tc>
          <w:tcPr>
            <w:tcW w:w="2960" w:type="pct"/>
            <w:hideMark/>
          </w:tcPr>
          <w:p w14:paraId="1DEC90B9" w14:textId="77777777" w:rsidR="00B950D8" w:rsidRPr="00B950D8" w:rsidRDefault="00B950D8" w:rsidP="00B950D8">
            <w:pPr>
              <w:rPr>
                <w:sz w:val="22"/>
              </w:rPr>
            </w:pPr>
            <w:r w:rsidRPr="00B950D8">
              <w:rPr>
                <w:sz w:val="22"/>
              </w:rPr>
              <w:t>Couldn’t pay car registration/insurance on time due to shortage of money</w:t>
            </w:r>
          </w:p>
        </w:tc>
        <w:tc>
          <w:tcPr>
            <w:tcW w:w="418" w:type="pct"/>
            <w:hideMark/>
          </w:tcPr>
          <w:p w14:paraId="1778CB99" w14:textId="77777777" w:rsidR="00B950D8" w:rsidRPr="00B950D8" w:rsidRDefault="00B950D8" w:rsidP="00B950D8">
            <w:pPr>
              <w:rPr>
                <w:sz w:val="22"/>
              </w:rPr>
            </w:pPr>
            <w:r w:rsidRPr="00B950D8">
              <w:rPr>
                <w:sz w:val="22"/>
              </w:rPr>
              <w:t>3.9</w:t>
            </w:r>
          </w:p>
        </w:tc>
        <w:tc>
          <w:tcPr>
            <w:tcW w:w="354" w:type="pct"/>
            <w:shd w:val="clear" w:color="auto" w:fill="FFFF99"/>
            <w:hideMark/>
          </w:tcPr>
          <w:p w14:paraId="10275D83" w14:textId="77777777" w:rsidR="00B950D8" w:rsidRPr="00B950D8" w:rsidRDefault="00B950D8" w:rsidP="00B950D8">
            <w:pPr>
              <w:rPr>
                <w:sz w:val="22"/>
              </w:rPr>
            </w:pPr>
            <w:r w:rsidRPr="00B950D8">
              <w:rPr>
                <w:sz w:val="22"/>
              </w:rPr>
              <w:t>7.7</w:t>
            </w:r>
          </w:p>
        </w:tc>
        <w:tc>
          <w:tcPr>
            <w:tcW w:w="541" w:type="pct"/>
            <w:shd w:val="clear" w:color="auto" w:fill="FFFF99"/>
          </w:tcPr>
          <w:p w14:paraId="513B3584" w14:textId="77777777" w:rsidR="00B950D8" w:rsidRPr="00B950D8" w:rsidRDefault="00B950D8" w:rsidP="00B950D8">
            <w:pPr>
              <w:rPr>
                <w:sz w:val="22"/>
              </w:rPr>
            </w:pPr>
            <w:r w:rsidRPr="00B950D8">
              <w:rPr>
                <w:sz w:val="22"/>
              </w:rPr>
              <w:t>10.2</w:t>
            </w:r>
          </w:p>
        </w:tc>
        <w:tc>
          <w:tcPr>
            <w:tcW w:w="355" w:type="pct"/>
            <w:shd w:val="clear" w:color="auto" w:fill="A8D08D" w:themeFill="accent6" w:themeFillTint="99"/>
            <w:hideMark/>
          </w:tcPr>
          <w:p w14:paraId="6780FB5E" w14:textId="77777777" w:rsidR="00B950D8" w:rsidRPr="00B950D8" w:rsidRDefault="00B950D8" w:rsidP="00B950D8">
            <w:pPr>
              <w:rPr>
                <w:sz w:val="22"/>
              </w:rPr>
            </w:pPr>
            <w:r w:rsidRPr="00B950D8">
              <w:rPr>
                <w:sz w:val="22"/>
              </w:rPr>
              <w:t>13.0</w:t>
            </w:r>
          </w:p>
        </w:tc>
        <w:tc>
          <w:tcPr>
            <w:tcW w:w="373" w:type="pct"/>
            <w:hideMark/>
          </w:tcPr>
          <w:p w14:paraId="5A382CFF" w14:textId="77777777" w:rsidR="00B950D8" w:rsidRPr="00B950D8" w:rsidRDefault="00B950D8" w:rsidP="00B950D8">
            <w:pPr>
              <w:rPr>
                <w:sz w:val="22"/>
              </w:rPr>
            </w:pPr>
            <w:r w:rsidRPr="00B950D8">
              <w:rPr>
                <w:sz w:val="22"/>
              </w:rPr>
              <w:t>0.6</w:t>
            </w:r>
          </w:p>
        </w:tc>
      </w:tr>
      <w:tr w:rsidR="00B950D8" w:rsidRPr="00B950D8" w14:paraId="3A4C95BB" w14:textId="77777777" w:rsidTr="004B0A83">
        <w:tc>
          <w:tcPr>
            <w:tcW w:w="2960" w:type="pct"/>
            <w:hideMark/>
          </w:tcPr>
          <w:p w14:paraId="37F80413" w14:textId="77777777" w:rsidR="00B950D8" w:rsidRPr="00B950D8" w:rsidRDefault="00B950D8" w:rsidP="00B950D8">
            <w:pPr>
              <w:rPr>
                <w:sz w:val="22"/>
              </w:rPr>
            </w:pPr>
            <w:bookmarkStart w:id="15" w:name="_Hlk13782453"/>
            <w:r w:rsidRPr="00B950D8">
              <w:rPr>
                <w:sz w:val="22"/>
              </w:rPr>
              <w:t>Went without meals due to shortage of money</w:t>
            </w:r>
            <w:bookmarkEnd w:id="15"/>
          </w:p>
        </w:tc>
        <w:tc>
          <w:tcPr>
            <w:tcW w:w="418" w:type="pct"/>
            <w:hideMark/>
          </w:tcPr>
          <w:p w14:paraId="40C11476" w14:textId="77777777" w:rsidR="00B950D8" w:rsidRPr="00B950D8" w:rsidRDefault="00B950D8" w:rsidP="00B950D8">
            <w:pPr>
              <w:rPr>
                <w:sz w:val="22"/>
              </w:rPr>
            </w:pPr>
            <w:r w:rsidRPr="00B950D8">
              <w:rPr>
                <w:sz w:val="22"/>
              </w:rPr>
              <w:t>2.7</w:t>
            </w:r>
          </w:p>
        </w:tc>
        <w:tc>
          <w:tcPr>
            <w:tcW w:w="354" w:type="pct"/>
            <w:shd w:val="clear" w:color="auto" w:fill="A8D08D" w:themeFill="accent6" w:themeFillTint="99"/>
            <w:hideMark/>
          </w:tcPr>
          <w:p w14:paraId="4A3AB840" w14:textId="77777777" w:rsidR="00B950D8" w:rsidRPr="00B950D8" w:rsidRDefault="00B950D8" w:rsidP="00B950D8">
            <w:pPr>
              <w:rPr>
                <w:sz w:val="22"/>
              </w:rPr>
            </w:pPr>
            <w:r w:rsidRPr="00B950D8">
              <w:rPr>
                <w:sz w:val="22"/>
              </w:rPr>
              <w:t>11.5</w:t>
            </w:r>
          </w:p>
        </w:tc>
        <w:tc>
          <w:tcPr>
            <w:tcW w:w="541" w:type="pct"/>
            <w:shd w:val="clear" w:color="auto" w:fill="A8D08D" w:themeFill="accent6" w:themeFillTint="99"/>
          </w:tcPr>
          <w:p w14:paraId="49BB50BB" w14:textId="77777777" w:rsidR="00B950D8" w:rsidRPr="00B950D8" w:rsidRDefault="00B950D8" w:rsidP="00B950D8">
            <w:pPr>
              <w:rPr>
                <w:sz w:val="22"/>
              </w:rPr>
            </w:pPr>
            <w:r w:rsidRPr="00B950D8">
              <w:rPr>
                <w:sz w:val="22"/>
              </w:rPr>
              <w:t>13.1</w:t>
            </w:r>
          </w:p>
        </w:tc>
        <w:tc>
          <w:tcPr>
            <w:tcW w:w="355" w:type="pct"/>
            <w:shd w:val="clear" w:color="auto" w:fill="A8D08D" w:themeFill="accent6" w:themeFillTint="99"/>
            <w:hideMark/>
          </w:tcPr>
          <w:p w14:paraId="3214FBD6" w14:textId="77777777" w:rsidR="00B950D8" w:rsidRPr="00B950D8" w:rsidRDefault="00B950D8" w:rsidP="00B950D8">
            <w:pPr>
              <w:rPr>
                <w:sz w:val="22"/>
              </w:rPr>
            </w:pPr>
            <w:r w:rsidRPr="00B950D8">
              <w:rPr>
                <w:sz w:val="22"/>
              </w:rPr>
              <w:t>14.4</w:t>
            </w:r>
          </w:p>
        </w:tc>
        <w:tc>
          <w:tcPr>
            <w:tcW w:w="373" w:type="pct"/>
            <w:hideMark/>
          </w:tcPr>
          <w:p w14:paraId="6A0E1BC7" w14:textId="77777777" w:rsidR="00B950D8" w:rsidRPr="00B950D8" w:rsidRDefault="00B950D8" w:rsidP="00B950D8">
            <w:pPr>
              <w:rPr>
                <w:sz w:val="22"/>
              </w:rPr>
            </w:pPr>
            <w:r w:rsidRPr="00B950D8">
              <w:rPr>
                <w:sz w:val="22"/>
              </w:rPr>
              <w:t>0.9</w:t>
            </w:r>
          </w:p>
        </w:tc>
      </w:tr>
      <w:tr w:rsidR="00B950D8" w:rsidRPr="00B950D8" w14:paraId="55F290E5" w14:textId="77777777" w:rsidTr="004B0A83">
        <w:tc>
          <w:tcPr>
            <w:tcW w:w="2960" w:type="pct"/>
            <w:hideMark/>
          </w:tcPr>
          <w:p w14:paraId="27190B1D" w14:textId="77777777" w:rsidR="00B950D8" w:rsidRPr="00B950D8" w:rsidRDefault="00B950D8" w:rsidP="00B950D8">
            <w:pPr>
              <w:rPr>
                <w:sz w:val="22"/>
              </w:rPr>
            </w:pPr>
            <w:r w:rsidRPr="00B950D8">
              <w:rPr>
                <w:sz w:val="22"/>
              </w:rPr>
              <w:t>Couldn’t heat or cool home due to shortage of money</w:t>
            </w:r>
          </w:p>
        </w:tc>
        <w:tc>
          <w:tcPr>
            <w:tcW w:w="418" w:type="pct"/>
            <w:hideMark/>
          </w:tcPr>
          <w:p w14:paraId="06CC2BC2" w14:textId="77777777" w:rsidR="00B950D8" w:rsidRPr="00B950D8" w:rsidRDefault="00B950D8" w:rsidP="00B950D8">
            <w:pPr>
              <w:rPr>
                <w:sz w:val="22"/>
              </w:rPr>
            </w:pPr>
            <w:r w:rsidRPr="00B950D8">
              <w:rPr>
                <w:sz w:val="22"/>
              </w:rPr>
              <w:t>2.3</w:t>
            </w:r>
          </w:p>
        </w:tc>
        <w:tc>
          <w:tcPr>
            <w:tcW w:w="354" w:type="pct"/>
            <w:shd w:val="clear" w:color="auto" w:fill="FFFF99"/>
            <w:hideMark/>
          </w:tcPr>
          <w:p w14:paraId="61B76B3F" w14:textId="77777777" w:rsidR="00B950D8" w:rsidRPr="00B950D8" w:rsidRDefault="00B950D8" w:rsidP="00B950D8">
            <w:pPr>
              <w:rPr>
                <w:sz w:val="22"/>
              </w:rPr>
            </w:pPr>
            <w:r w:rsidRPr="00B950D8">
              <w:rPr>
                <w:sz w:val="22"/>
              </w:rPr>
              <w:t>5.9</w:t>
            </w:r>
          </w:p>
        </w:tc>
        <w:tc>
          <w:tcPr>
            <w:tcW w:w="541" w:type="pct"/>
            <w:shd w:val="clear" w:color="auto" w:fill="FFFF99"/>
          </w:tcPr>
          <w:p w14:paraId="549A2B73" w14:textId="77777777" w:rsidR="00B950D8" w:rsidRPr="00B950D8" w:rsidRDefault="00B950D8" w:rsidP="00B950D8">
            <w:pPr>
              <w:rPr>
                <w:sz w:val="22"/>
              </w:rPr>
            </w:pPr>
            <w:r w:rsidRPr="00B950D8">
              <w:rPr>
                <w:sz w:val="22"/>
              </w:rPr>
              <w:t>5.5</w:t>
            </w:r>
          </w:p>
        </w:tc>
        <w:tc>
          <w:tcPr>
            <w:tcW w:w="355" w:type="pct"/>
            <w:shd w:val="clear" w:color="auto" w:fill="A8D08D" w:themeFill="accent6" w:themeFillTint="99"/>
            <w:hideMark/>
          </w:tcPr>
          <w:p w14:paraId="3981B345" w14:textId="77777777" w:rsidR="00B950D8" w:rsidRPr="00B950D8" w:rsidRDefault="00B950D8" w:rsidP="00B950D8">
            <w:pPr>
              <w:rPr>
                <w:sz w:val="22"/>
              </w:rPr>
            </w:pPr>
            <w:r w:rsidRPr="00B950D8">
              <w:rPr>
                <w:sz w:val="22"/>
              </w:rPr>
              <w:t>14.8</w:t>
            </w:r>
          </w:p>
        </w:tc>
        <w:tc>
          <w:tcPr>
            <w:tcW w:w="373" w:type="pct"/>
            <w:hideMark/>
          </w:tcPr>
          <w:p w14:paraId="3FC72566" w14:textId="77777777" w:rsidR="00B950D8" w:rsidRPr="00B950D8" w:rsidRDefault="00B950D8" w:rsidP="00B950D8">
            <w:pPr>
              <w:rPr>
                <w:sz w:val="22"/>
              </w:rPr>
            </w:pPr>
            <w:r w:rsidRPr="00B950D8">
              <w:rPr>
                <w:sz w:val="22"/>
              </w:rPr>
              <w:t>1.8</w:t>
            </w:r>
          </w:p>
        </w:tc>
      </w:tr>
      <w:tr w:rsidR="00B950D8" w:rsidRPr="00B950D8" w14:paraId="2786F558" w14:textId="77777777" w:rsidTr="004B0A83">
        <w:tc>
          <w:tcPr>
            <w:tcW w:w="2960" w:type="pct"/>
            <w:hideMark/>
          </w:tcPr>
          <w:p w14:paraId="55AD8F09" w14:textId="77777777" w:rsidR="00B950D8" w:rsidRPr="00B950D8" w:rsidRDefault="00B950D8" w:rsidP="00B950D8">
            <w:pPr>
              <w:rPr>
                <w:sz w:val="22"/>
              </w:rPr>
            </w:pPr>
            <w:r w:rsidRPr="00B950D8">
              <w:rPr>
                <w:sz w:val="22"/>
              </w:rPr>
              <w:t>Couldn’t raise $2000 within a week</w:t>
            </w:r>
          </w:p>
        </w:tc>
        <w:tc>
          <w:tcPr>
            <w:tcW w:w="418" w:type="pct"/>
            <w:hideMark/>
          </w:tcPr>
          <w:p w14:paraId="7E55310B" w14:textId="77777777" w:rsidR="00B950D8" w:rsidRPr="00B950D8" w:rsidRDefault="00B950D8" w:rsidP="00B950D8">
            <w:pPr>
              <w:rPr>
                <w:sz w:val="22"/>
              </w:rPr>
            </w:pPr>
            <w:r w:rsidRPr="00B950D8">
              <w:rPr>
                <w:sz w:val="22"/>
              </w:rPr>
              <w:t>13.2</w:t>
            </w:r>
          </w:p>
        </w:tc>
        <w:tc>
          <w:tcPr>
            <w:tcW w:w="354" w:type="pct"/>
            <w:shd w:val="clear" w:color="auto" w:fill="FFFF99"/>
            <w:hideMark/>
          </w:tcPr>
          <w:p w14:paraId="25477EF7" w14:textId="77777777" w:rsidR="00B950D8" w:rsidRPr="00B950D8" w:rsidRDefault="00B950D8" w:rsidP="00B950D8">
            <w:pPr>
              <w:rPr>
                <w:sz w:val="22"/>
              </w:rPr>
            </w:pPr>
            <w:r w:rsidRPr="00B950D8">
              <w:rPr>
                <w:sz w:val="22"/>
              </w:rPr>
              <w:t>37.5</w:t>
            </w:r>
          </w:p>
        </w:tc>
        <w:tc>
          <w:tcPr>
            <w:tcW w:w="541" w:type="pct"/>
            <w:shd w:val="clear" w:color="auto" w:fill="A8D08D" w:themeFill="accent6" w:themeFillTint="99"/>
          </w:tcPr>
          <w:p w14:paraId="42DE88E5" w14:textId="77777777" w:rsidR="00B950D8" w:rsidRPr="00B950D8" w:rsidRDefault="00B950D8" w:rsidP="00B950D8">
            <w:pPr>
              <w:rPr>
                <w:sz w:val="22"/>
              </w:rPr>
            </w:pPr>
            <w:r w:rsidRPr="00B950D8">
              <w:rPr>
                <w:sz w:val="22"/>
              </w:rPr>
              <w:t>71.0</w:t>
            </w:r>
          </w:p>
        </w:tc>
        <w:tc>
          <w:tcPr>
            <w:tcW w:w="355" w:type="pct"/>
            <w:shd w:val="clear" w:color="auto" w:fill="A8D08D" w:themeFill="accent6" w:themeFillTint="99"/>
            <w:hideMark/>
          </w:tcPr>
          <w:p w14:paraId="6E3697C0" w14:textId="77777777" w:rsidR="00B950D8" w:rsidRPr="00B950D8" w:rsidRDefault="00B950D8" w:rsidP="00B950D8">
            <w:pPr>
              <w:rPr>
                <w:sz w:val="22"/>
              </w:rPr>
            </w:pPr>
            <w:r w:rsidRPr="00B950D8">
              <w:rPr>
                <w:sz w:val="22"/>
              </w:rPr>
              <w:t>43.4</w:t>
            </w:r>
          </w:p>
        </w:tc>
        <w:tc>
          <w:tcPr>
            <w:tcW w:w="373" w:type="pct"/>
            <w:hideMark/>
          </w:tcPr>
          <w:p w14:paraId="3F68836E" w14:textId="77777777" w:rsidR="00B950D8" w:rsidRPr="00B950D8" w:rsidRDefault="00B950D8" w:rsidP="00B950D8">
            <w:pPr>
              <w:rPr>
                <w:sz w:val="22"/>
              </w:rPr>
            </w:pPr>
            <w:r w:rsidRPr="00B950D8">
              <w:rPr>
                <w:sz w:val="22"/>
              </w:rPr>
              <w:t>13.6</w:t>
            </w:r>
          </w:p>
        </w:tc>
      </w:tr>
      <w:tr w:rsidR="00B950D8" w:rsidRPr="00B950D8" w14:paraId="6A30B5D3" w14:textId="77777777" w:rsidTr="004B0A83">
        <w:tc>
          <w:tcPr>
            <w:tcW w:w="2960" w:type="pct"/>
            <w:hideMark/>
          </w:tcPr>
          <w:p w14:paraId="7F7EF766" w14:textId="77777777" w:rsidR="00B950D8" w:rsidRPr="00B950D8" w:rsidRDefault="00B950D8" w:rsidP="00B950D8">
            <w:pPr>
              <w:rPr>
                <w:sz w:val="22"/>
              </w:rPr>
            </w:pPr>
            <w:r w:rsidRPr="00B950D8">
              <w:rPr>
                <w:sz w:val="22"/>
              </w:rPr>
              <w:t>Sought assistance from welfare/community organisations due to money shortage</w:t>
            </w:r>
          </w:p>
        </w:tc>
        <w:tc>
          <w:tcPr>
            <w:tcW w:w="418" w:type="pct"/>
            <w:hideMark/>
          </w:tcPr>
          <w:p w14:paraId="44E5FA5E" w14:textId="77777777" w:rsidR="00B950D8" w:rsidRPr="00B950D8" w:rsidRDefault="00B950D8" w:rsidP="00B950D8">
            <w:pPr>
              <w:rPr>
                <w:sz w:val="22"/>
              </w:rPr>
            </w:pPr>
            <w:r w:rsidRPr="00B950D8">
              <w:rPr>
                <w:sz w:val="22"/>
              </w:rPr>
              <w:t>2.6</w:t>
            </w:r>
          </w:p>
        </w:tc>
        <w:tc>
          <w:tcPr>
            <w:tcW w:w="354" w:type="pct"/>
            <w:shd w:val="clear" w:color="auto" w:fill="A8D08D" w:themeFill="accent6" w:themeFillTint="99"/>
            <w:hideMark/>
          </w:tcPr>
          <w:p w14:paraId="45C2BACB" w14:textId="77777777" w:rsidR="00B950D8" w:rsidRPr="00B950D8" w:rsidRDefault="00B950D8" w:rsidP="00B950D8">
            <w:pPr>
              <w:rPr>
                <w:sz w:val="22"/>
              </w:rPr>
            </w:pPr>
            <w:r w:rsidRPr="00B950D8">
              <w:rPr>
                <w:sz w:val="22"/>
              </w:rPr>
              <w:t>10.7</w:t>
            </w:r>
          </w:p>
        </w:tc>
        <w:tc>
          <w:tcPr>
            <w:tcW w:w="541" w:type="pct"/>
            <w:shd w:val="clear" w:color="auto" w:fill="A8D08D" w:themeFill="accent6" w:themeFillTint="99"/>
          </w:tcPr>
          <w:p w14:paraId="5A84E4FF" w14:textId="77777777" w:rsidR="00B950D8" w:rsidRPr="00B950D8" w:rsidRDefault="00B950D8" w:rsidP="00B950D8">
            <w:pPr>
              <w:rPr>
                <w:sz w:val="22"/>
              </w:rPr>
            </w:pPr>
            <w:r w:rsidRPr="00B950D8">
              <w:rPr>
                <w:sz w:val="22"/>
              </w:rPr>
              <w:t>23.0</w:t>
            </w:r>
          </w:p>
        </w:tc>
        <w:tc>
          <w:tcPr>
            <w:tcW w:w="355" w:type="pct"/>
            <w:shd w:val="clear" w:color="auto" w:fill="A8D08D" w:themeFill="accent6" w:themeFillTint="99"/>
            <w:hideMark/>
          </w:tcPr>
          <w:p w14:paraId="3751F004" w14:textId="77777777" w:rsidR="00B950D8" w:rsidRPr="00B950D8" w:rsidRDefault="00B950D8" w:rsidP="00B950D8">
            <w:pPr>
              <w:rPr>
                <w:sz w:val="22"/>
              </w:rPr>
            </w:pPr>
            <w:r w:rsidRPr="00B950D8">
              <w:rPr>
                <w:sz w:val="22"/>
              </w:rPr>
              <w:t>16.6</w:t>
            </w:r>
          </w:p>
        </w:tc>
        <w:tc>
          <w:tcPr>
            <w:tcW w:w="373" w:type="pct"/>
            <w:hideMark/>
          </w:tcPr>
          <w:p w14:paraId="5D719A13" w14:textId="77777777" w:rsidR="00B950D8" w:rsidRPr="00B950D8" w:rsidRDefault="00B950D8" w:rsidP="00B950D8">
            <w:pPr>
              <w:rPr>
                <w:sz w:val="22"/>
              </w:rPr>
            </w:pPr>
            <w:r w:rsidRPr="00B950D8">
              <w:rPr>
                <w:sz w:val="22"/>
              </w:rPr>
              <w:t>2.1</w:t>
            </w:r>
          </w:p>
        </w:tc>
      </w:tr>
      <w:tr w:rsidR="00B950D8" w:rsidRPr="00B950D8" w14:paraId="39BA5576" w14:textId="77777777" w:rsidTr="004B0A83">
        <w:tc>
          <w:tcPr>
            <w:tcW w:w="2960" w:type="pct"/>
            <w:hideMark/>
          </w:tcPr>
          <w:p w14:paraId="69BC4135" w14:textId="77777777" w:rsidR="00B950D8" w:rsidRPr="00B950D8" w:rsidRDefault="00B950D8" w:rsidP="00B950D8">
            <w:pPr>
              <w:rPr>
                <w:sz w:val="22"/>
              </w:rPr>
            </w:pPr>
            <w:r w:rsidRPr="00B950D8">
              <w:rPr>
                <w:sz w:val="22"/>
              </w:rPr>
              <w:t>Sought financial help from friends/family</w:t>
            </w:r>
          </w:p>
        </w:tc>
        <w:tc>
          <w:tcPr>
            <w:tcW w:w="418" w:type="pct"/>
            <w:hideMark/>
          </w:tcPr>
          <w:p w14:paraId="761E7B1F" w14:textId="77777777" w:rsidR="00B950D8" w:rsidRPr="00B950D8" w:rsidRDefault="00B950D8" w:rsidP="00B950D8">
            <w:pPr>
              <w:rPr>
                <w:sz w:val="22"/>
              </w:rPr>
            </w:pPr>
            <w:r w:rsidRPr="00B950D8">
              <w:rPr>
                <w:sz w:val="22"/>
              </w:rPr>
              <w:t>7.0</w:t>
            </w:r>
          </w:p>
        </w:tc>
        <w:tc>
          <w:tcPr>
            <w:tcW w:w="354" w:type="pct"/>
            <w:shd w:val="clear" w:color="auto" w:fill="FFFF99"/>
            <w:hideMark/>
          </w:tcPr>
          <w:p w14:paraId="0A66518C" w14:textId="77777777" w:rsidR="00B950D8" w:rsidRPr="00B950D8" w:rsidRDefault="00B950D8" w:rsidP="00B950D8">
            <w:pPr>
              <w:rPr>
                <w:sz w:val="22"/>
              </w:rPr>
            </w:pPr>
            <w:r w:rsidRPr="00B950D8">
              <w:rPr>
                <w:sz w:val="22"/>
              </w:rPr>
              <w:t>14.3</w:t>
            </w:r>
          </w:p>
        </w:tc>
        <w:tc>
          <w:tcPr>
            <w:tcW w:w="541" w:type="pct"/>
            <w:shd w:val="clear" w:color="auto" w:fill="A8D08D" w:themeFill="accent6" w:themeFillTint="99"/>
          </w:tcPr>
          <w:p w14:paraId="12530FF3" w14:textId="77777777" w:rsidR="00B950D8" w:rsidRPr="00B950D8" w:rsidRDefault="00B950D8" w:rsidP="00B950D8">
            <w:pPr>
              <w:rPr>
                <w:sz w:val="22"/>
              </w:rPr>
            </w:pPr>
            <w:r w:rsidRPr="00B950D8">
              <w:rPr>
                <w:sz w:val="22"/>
              </w:rPr>
              <w:t>34.7</w:t>
            </w:r>
          </w:p>
        </w:tc>
        <w:tc>
          <w:tcPr>
            <w:tcW w:w="355" w:type="pct"/>
            <w:shd w:val="clear" w:color="auto" w:fill="A8D08D" w:themeFill="accent6" w:themeFillTint="99"/>
            <w:hideMark/>
          </w:tcPr>
          <w:p w14:paraId="17979793" w14:textId="77777777" w:rsidR="00B950D8" w:rsidRPr="00B950D8" w:rsidRDefault="00B950D8" w:rsidP="00B950D8">
            <w:pPr>
              <w:rPr>
                <w:sz w:val="22"/>
              </w:rPr>
            </w:pPr>
            <w:r w:rsidRPr="00B950D8">
              <w:rPr>
                <w:sz w:val="22"/>
              </w:rPr>
              <w:t>29.1</w:t>
            </w:r>
          </w:p>
        </w:tc>
        <w:tc>
          <w:tcPr>
            <w:tcW w:w="373" w:type="pct"/>
            <w:hideMark/>
          </w:tcPr>
          <w:p w14:paraId="2D9EA205" w14:textId="77777777" w:rsidR="00B950D8" w:rsidRPr="00B950D8" w:rsidRDefault="00B950D8" w:rsidP="00B950D8">
            <w:pPr>
              <w:rPr>
                <w:sz w:val="22"/>
              </w:rPr>
            </w:pPr>
            <w:r w:rsidRPr="00B950D8">
              <w:rPr>
                <w:sz w:val="22"/>
              </w:rPr>
              <w:t>2.4</w:t>
            </w:r>
          </w:p>
        </w:tc>
      </w:tr>
      <w:tr w:rsidR="00B950D8" w:rsidRPr="00B950D8" w14:paraId="323F4A2D" w14:textId="77777777" w:rsidTr="004B0A83">
        <w:tc>
          <w:tcPr>
            <w:tcW w:w="2960" w:type="pct"/>
            <w:hideMark/>
          </w:tcPr>
          <w:p w14:paraId="3C6D59D2" w14:textId="77777777" w:rsidR="00B950D8" w:rsidRPr="00B950D8" w:rsidRDefault="00B950D8" w:rsidP="00B950D8">
            <w:pPr>
              <w:rPr>
                <w:sz w:val="22"/>
              </w:rPr>
            </w:pPr>
            <w:r w:rsidRPr="00B950D8">
              <w:rPr>
                <w:sz w:val="22"/>
              </w:rPr>
              <w:t>Saving is not a main emergency money source of HH</w:t>
            </w:r>
          </w:p>
        </w:tc>
        <w:tc>
          <w:tcPr>
            <w:tcW w:w="418" w:type="pct"/>
            <w:hideMark/>
          </w:tcPr>
          <w:p w14:paraId="4A1BB1D8" w14:textId="77777777" w:rsidR="00B950D8" w:rsidRPr="00B950D8" w:rsidRDefault="00B950D8" w:rsidP="00B950D8">
            <w:pPr>
              <w:rPr>
                <w:sz w:val="22"/>
              </w:rPr>
            </w:pPr>
            <w:r w:rsidRPr="00B950D8">
              <w:rPr>
                <w:sz w:val="22"/>
              </w:rPr>
              <w:t>33.3</w:t>
            </w:r>
          </w:p>
        </w:tc>
        <w:tc>
          <w:tcPr>
            <w:tcW w:w="354" w:type="pct"/>
            <w:hideMark/>
          </w:tcPr>
          <w:p w14:paraId="23827C2B" w14:textId="77777777" w:rsidR="00B950D8" w:rsidRPr="00B950D8" w:rsidRDefault="00B950D8" w:rsidP="00B950D8">
            <w:pPr>
              <w:rPr>
                <w:sz w:val="22"/>
              </w:rPr>
            </w:pPr>
            <w:r w:rsidRPr="00B950D8">
              <w:rPr>
                <w:sz w:val="22"/>
              </w:rPr>
              <w:t>59.3</w:t>
            </w:r>
          </w:p>
        </w:tc>
        <w:tc>
          <w:tcPr>
            <w:tcW w:w="541" w:type="pct"/>
            <w:shd w:val="clear" w:color="auto" w:fill="auto"/>
          </w:tcPr>
          <w:p w14:paraId="5FE24926" w14:textId="77777777" w:rsidR="00B950D8" w:rsidRPr="00B950D8" w:rsidRDefault="00B950D8" w:rsidP="00B950D8">
            <w:pPr>
              <w:rPr>
                <w:sz w:val="22"/>
              </w:rPr>
            </w:pPr>
            <w:r w:rsidRPr="00B950D8">
              <w:rPr>
                <w:sz w:val="22"/>
              </w:rPr>
              <w:t>-</w:t>
            </w:r>
          </w:p>
        </w:tc>
        <w:tc>
          <w:tcPr>
            <w:tcW w:w="355" w:type="pct"/>
            <w:shd w:val="clear" w:color="auto" w:fill="FFFF99"/>
            <w:hideMark/>
          </w:tcPr>
          <w:p w14:paraId="071D143E" w14:textId="77777777" w:rsidR="00B950D8" w:rsidRPr="00B950D8" w:rsidRDefault="00B950D8" w:rsidP="00B950D8">
            <w:pPr>
              <w:rPr>
                <w:sz w:val="22"/>
              </w:rPr>
            </w:pPr>
            <w:r w:rsidRPr="00B950D8">
              <w:rPr>
                <w:sz w:val="22"/>
              </w:rPr>
              <w:t>73.0</w:t>
            </w:r>
          </w:p>
        </w:tc>
        <w:tc>
          <w:tcPr>
            <w:tcW w:w="373" w:type="pct"/>
            <w:hideMark/>
          </w:tcPr>
          <w:p w14:paraId="019E5569" w14:textId="77777777" w:rsidR="00B950D8" w:rsidRPr="00B950D8" w:rsidRDefault="00B950D8" w:rsidP="00B950D8">
            <w:pPr>
              <w:rPr>
                <w:sz w:val="22"/>
              </w:rPr>
            </w:pPr>
            <w:r w:rsidRPr="00B950D8">
              <w:rPr>
                <w:sz w:val="22"/>
              </w:rPr>
              <w:t>28.5</w:t>
            </w:r>
          </w:p>
        </w:tc>
      </w:tr>
      <w:tr w:rsidR="00B950D8" w:rsidRPr="00B950D8" w14:paraId="7EE04DE2" w14:textId="77777777" w:rsidTr="004B0A83">
        <w:tc>
          <w:tcPr>
            <w:tcW w:w="2960" w:type="pct"/>
            <w:hideMark/>
          </w:tcPr>
          <w:p w14:paraId="410D808F" w14:textId="77777777" w:rsidR="00B950D8" w:rsidRPr="00B950D8" w:rsidRDefault="00B950D8" w:rsidP="00B950D8">
            <w:pPr>
              <w:rPr>
                <w:sz w:val="22"/>
              </w:rPr>
            </w:pPr>
            <w:r w:rsidRPr="00B950D8">
              <w:rPr>
                <w:sz w:val="22"/>
              </w:rPr>
              <w:t>HH standard of living worse than 2 years ago</w:t>
            </w:r>
          </w:p>
        </w:tc>
        <w:tc>
          <w:tcPr>
            <w:tcW w:w="418" w:type="pct"/>
            <w:hideMark/>
          </w:tcPr>
          <w:p w14:paraId="3E09B59E" w14:textId="77777777" w:rsidR="00B950D8" w:rsidRPr="00B950D8" w:rsidRDefault="00B950D8" w:rsidP="00B950D8">
            <w:pPr>
              <w:rPr>
                <w:sz w:val="22"/>
              </w:rPr>
            </w:pPr>
            <w:r w:rsidRPr="00B950D8">
              <w:rPr>
                <w:sz w:val="22"/>
              </w:rPr>
              <w:t>23.7</w:t>
            </w:r>
          </w:p>
        </w:tc>
        <w:tc>
          <w:tcPr>
            <w:tcW w:w="354" w:type="pct"/>
            <w:hideMark/>
          </w:tcPr>
          <w:p w14:paraId="15895175" w14:textId="77777777" w:rsidR="00B950D8" w:rsidRPr="00B950D8" w:rsidRDefault="00B950D8" w:rsidP="00B950D8">
            <w:pPr>
              <w:rPr>
                <w:sz w:val="22"/>
              </w:rPr>
            </w:pPr>
            <w:r w:rsidRPr="00B950D8">
              <w:rPr>
                <w:sz w:val="22"/>
              </w:rPr>
              <w:t>34.7</w:t>
            </w:r>
          </w:p>
        </w:tc>
        <w:tc>
          <w:tcPr>
            <w:tcW w:w="541" w:type="pct"/>
            <w:shd w:val="clear" w:color="auto" w:fill="auto"/>
          </w:tcPr>
          <w:p w14:paraId="5006ADED" w14:textId="77777777" w:rsidR="00B950D8" w:rsidRPr="00B950D8" w:rsidRDefault="00B950D8" w:rsidP="00B950D8">
            <w:pPr>
              <w:rPr>
                <w:sz w:val="22"/>
              </w:rPr>
            </w:pPr>
            <w:r w:rsidRPr="00B950D8">
              <w:rPr>
                <w:sz w:val="22"/>
              </w:rPr>
              <w:t>-</w:t>
            </w:r>
          </w:p>
        </w:tc>
        <w:tc>
          <w:tcPr>
            <w:tcW w:w="355" w:type="pct"/>
            <w:shd w:val="clear" w:color="auto" w:fill="FFFF99"/>
            <w:hideMark/>
          </w:tcPr>
          <w:p w14:paraId="2B4B2E52" w14:textId="77777777" w:rsidR="00B950D8" w:rsidRPr="00B950D8" w:rsidRDefault="00B950D8" w:rsidP="00B950D8">
            <w:pPr>
              <w:rPr>
                <w:sz w:val="22"/>
              </w:rPr>
            </w:pPr>
            <w:r w:rsidRPr="00B950D8">
              <w:rPr>
                <w:sz w:val="22"/>
              </w:rPr>
              <w:t>54.7</w:t>
            </w:r>
          </w:p>
        </w:tc>
        <w:tc>
          <w:tcPr>
            <w:tcW w:w="373" w:type="pct"/>
            <w:hideMark/>
          </w:tcPr>
          <w:p w14:paraId="7E3CD5BA" w14:textId="77777777" w:rsidR="00B950D8" w:rsidRPr="00B950D8" w:rsidRDefault="00B950D8" w:rsidP="00B950D8">
            <w:pPr>
              <w:rPr>
                <w:sz w:val="22"/>
              </w:rPr>
            </w:pPr>
            <w:r w:rsidRPr="00B950D8">
              <w:rPr>
                <w:sz w:val="22"/>
              </w:rPr>
              <w:t>26.2</w:t>
            </w:r>
          </w:p>
        </w:tc>
      </w:tr>
      <w:tr w:rsidR="00B950D8" w:rsidRPr="00B950D8" w14:paraId="243D47A6" w14:textId="77777777" w:rsidTr="004B0A83">
        <w:tc>
          <w:tcPr>
            <w:tcW w:w="2960" w:type="pct"/>
            <w:tcBorders>
              <w:bottom w:val="single" w:sz="4" w:space="0" w:color="auto"/>
            </w:tcBorders>
            <w:hideMark/>
          </w:tcPr>
          <w:p w14:paraId="7E18C71E" w14:textId="77777777" w:rsidR="00B950D8" w:rsidRPr="00B950D8" w:rsidRDefault="00B950D8" w:rsidP="00B950D8">
            <w:pPr>
              <w:rPr>
                <w:sz w:val="22"/>
              </w:rPr>
            </w:pPr>
            <w:r w:rsidRPr="00B950D8">
              <w:rPr>
                <w:sz w:val="22"/>
              </w:rPr>
              <w:t>Unable to save money most weeks</w:t>
            </w:r>
          </w:p>
        </w:tc>
        <w:tc>
          <w:tcPr>
            <w:tcW w:w="418" w:type="pct"/>
            <w:tcBorders>
              <w:bottom w:val="single" w:sz="4" w:space="0" w:color="auto"/>
            </w:tcBorders>
            <w:hideMark/>
          </w:tcPr>
          <w:p w14:paraId="179BB905" w14:textId="77777777" w:rsidR="00B950D8" w:rsidRPr="00B950D8" w:rsidRDefault="00B950D8" w:rsidP="00B950D8">
            <w:pPr>
              <w:rPr>
                <w:sz w:val="22"/>
              </w:rPr>
            </w:pPr>
            <w:r w:rsidRPr="00B950D8">
              <w:rPr>
                <w:sz w:val="22"/>
              </w:rPr>
              <w:t>55.3</w:t>
            </w:r>
          </w:p>
        </w:tc>
        <w:tc>
          <w:tcPr>
            <w:tcW w:w="354" w:type="pct"/>
            <w:tcBorders>
              <w:bottom w:val="single" w:sz="4" w:space="0" w:color="auto"/>
            </w:tcBorders>
            <w:hideMark/>
          </w:tcPr>
          <w:p w14:paraId="4C15B6AE" w14:textId="77777777" w:rsidR="00B950D8" w:rsidRPr="00B950D8" w:rsidRDefault="00B950D8" w:rsidP="00B950D8">
            <w:pPr>
              <w:rPr>
                <w:sz w:val="22"/>
              </w:rPr>
            </w:pPr>
            <w:r w:rsidRPr="00B950D8">
              <w:rPr>
                <w:sz w:val="22"/>
              </w:rPr>
              <w:t>72.3</w:t>
            </w:r>
          </w:p>
        </w:tc>
        <w:tc>
          <w:tcPr>
            <w:tcW w:w="541" w:type="pct"/>
            <w:tcBorders>
              <w:bottom w:val="single" w:sz="4" w:space="0" w:color="auto"/>
            </w:tcBorders>
            <w:shd w:val="clear" w:color="auto" w:fill="auto"/>
          </w:tcPr>
          <w:p w14:paraId="780DFE16" w14:textId="77777777" w:rsidR="00B950D8" w:rsidRPr="00B950D8" w:rsidRDefault="00B950D8" w:rsidP="00B950D8">
            <w:pPr>
              <w:rPr>
                <w:sz w:val="22"/>
              </w:rPr>
            </w:pPr>
            <w:r w:rsidRPr="00B950D8">
              <w:rPr>
                <w:sz w:val="22"/>
              </w:rPr>
              <w:t>-</w:t>
            </w:r>
          </w:p>
        </w:tc>
        <w:tc>
          <w:tcPr>
            <w:tcW w:w="355" w:type="pct"/>
            <w:tcBorders>
              <w:bottom w:val="single" w:sz="4" w:space="0" w:color="auto"/>
            </w:tcBorders>
            <w:hideMark/>
          </w:tcPr>
          <w:p w14:paraId="4BD979C4" w14:textId="77777777" w:rsidR="00B950D8" w:rsidRPr="00B950D8" w:rsidRDefault="00B950D8" w:rsidP="00B950D8">
            <w:pPr>
              <w:rPr>
                <w:sz w:val="22"/>
              </w:rPr>
            </w:pPr>
            <w:r w:rsidRPr="00B950D8">
              <w:rPr>
                <w:sz w:val="22"/>
              </w:rPr>
              <w:t>88.2</w:t>
            </w:r>
          </w:p>
        </w:tc>
        <w:tc>
          <w:tcPr>
            <w:tcW w:w="373" w:type="pct"/>
            <w:tcBorders>
              <w:bottom w:val="single" w:sz="4" w:space="0" w:color="auto"/>
            </w:tcBorders>
            <w:hideMark/>
          </w:tcPr>
          <w:p w14:paraId="71214412" w14:textId="77777777" w:rsidR="00B950D8" w:rsidRPr="00B950D8" w:rsidRDefault="00B950D8" w:rsidP="00B950D8">
            <w:pPr>
              <w:rPr>
                <w:sz w:val="22"/>
              </w:rPr>
            </w:pPr>
            <w:r w:rsidRPr="00B950D8">
              <w:rPr>
                <w:sz w:val="22"/>
              </w:rPr>
              <w:t>60.6</w:t>
            </w:r>
          </w:p>
        </w:tc>
      </w:tr>
    </w:tbl>
    <w:p w14:paraId="5DF26E5D" w14:textId="717C1C0A" w:rsidR="00B950D8" w:rsidRPr="00B950D8" w:rsidRDefault="00B950D8" w:rsidP="00B950D8">
      <w:pPr>
        <w:rPr>
          <w:i/>
          <w:sz w:val="20"/>
          <w:lang w:val="en-AU"/>
        </w:rPr>
      </w:pPr>
      <w:r w:rsidRPr="00B950D8">
        <w:rPr>
          <w:i/>
          <w:sz w:val="20"/>
          <w:lang w:val="en-AU"/>
        </w:rPr>
        <w:t xml:space="preserve">Source: </w:t>
      </w:r>
      <w:r w:rsidRPr="00B950D8">
        <w:rPr>
          <w:sz w:val="20"/>
          <w:lang w:val="en-AU"/>
        </w:rPr>
        <w:t xml:space="preserve">Authors’ calculations from the 2015–16 HES. </w:t>
      </w:r>
      <w:r w:rsidRPr="00B950D8">
        <w:rPr>
          <w:sz w:val="20"/>
          <w:lang w:val="en-GB"/>
        </w:rPr>
        <w:t>Numbers in Table 3 are weighted to be representative for the Australian population. For Indigenous households data were sourced from the 2014-15 National Aboriginal and Torres Strait Islander Social Survey</w:t>
      </w:r>
    </w:p>
    <w:p w14:paraId="47CC98D7" w14:textId="77777777" w:rsidR="00993D9C" w:rsidRPr="00737E16" w:rsidRDefault="00993D9C" w:rsidP="00993D9C">
      <w:pPr>
        <w:rPr>
          <w:sz w:val="20"/>
          <w:szCs w:val="20"/>
        </w:rPr>
      </w:pPr>
      <w:r w:rsidRPr="00737E16">
        <w:rPr>
          <w:i/>
          <w:noProof/>
          <w:sz w:val="20"/>
          <w:szCs w:val="20"/>
          <w:lang w:val="en-AU" w:eastAsia="en-AU"/>
        </w:rPr>
        <mc:AlternateContent>
          <mc:Choice Requires="wps">
            <w:drawing>
              <wp:inline distT="0" distB="0" distL="0" distR="0" wp14:anchorId="010282CB" wp14:editId="586061C3">
                <wp:extent cx="197510" cy="197510"/>
                <wp:effectExtent l="0" t="0" r="0" b="0"/>
                <wp:docPr id="13" name="Rectangle 4" title="Box with yellow shading"/>
                <wp:cNvGraphicFramePr/>
                <a:graphic xmlns:a="http://schemas.openxmlformats.org/drawingml/2006/main">
                  <a:graphicData uri="http://schemas.microsoft.com/office/word/2010/wordprocessingShape">
                    <wps:wsp>
                      <wps:cNvSpPr/>
                      <wps:spPr>
                        <a:xfrm>
                          <a:off x="0" y="0"/>
                          <a:ext cx="197510" cy="197510"/>
                        </a:xfrm>
                        <a:prstGeom prst="rect">
                          <a:avLst/>
                        </a:prstGeom>
                        <a:solidFill>
                          <a:srgbClr val="FFFF6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C9F874C" id="Rectangle 4" o:spid="_x0000_s1026" alt="Title: Box with yellow shading" style="width:15.55pt;height:15.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" fillcolor="#ff6" stroked="f" strokeweight="1pt">
                <w10:anchorlock/>
              </v:rect>
            </w:pict>
          </mc:Fallback>
        </mc:AlternateContent>
      </w:r>
      <w:r w:rsidRPr="00737E16">
        <w:rPr>
          <w:sz w:val="20"/>
          <w:szCs w:val="20"/>
        </w:rPr>
        <w:t xml:space="preserve">  2 x higher than</w:t>
      </w:r>
      <w:bookmarkStart w:id="16" w:name="_GoBack"/>
      <w:bookmarkEnd w:id="16"/>
      <w:r w:rsidRPr="00737E16">
        <w:rPr>
          <w:i/>
          <w:noProof/>
          <w:sz w:val="20"/>
          <w:szCs w:val="20"/>
          <w:lang w:val="en-AU" w:eastAsia="en-AU"/>
        </w:rPr>
        <mc:AlternateContent>
          <mc:Choice Requires="wps">
            <w:drawing>
              <wp:anchor distT="0" distB="0" distL="114300" distR="114300" simplePos="0" relativeHeight="251659264" behindDoc="0" locked="0" layoutInCell="1" allowOverlap="1" wp14:anchorId="049362A4" wp14:editId="37DACE23">
                <wp:simplePos x="0" y="0"/>
                <wp:positionH relativeFrom="margin">
                  <wp:posOffset>0</wp:posOffset>
                </wp:positionH>
                <wp:positionV relativeFrom="paragraph">
                  <wp:posOffset>323850</wp:posOffset>
                </wp:positionV>
                <wp:extent cx="189865" cy="197485"/>
                <wp:effectExtent l="0" t="0" r="635" b="0"/>
                <wp:wrapSquare wrapText="bothSides"/>
                <wp:docPr id="2" name="Rectangle 3" title="Box with green shading"/>
                <wp:cNvGraphicFramePr/>
                <a:graphic xmlns:a="http://schemas.openxmlformats.org/drawingml/2006/main">
                  <a:graphicData uri="http://schemas.microsoft.com/office/word/2010/wordprocessingShape">
                    <wps:wsp>
                      <wps:cNvSpPr/>
                      <wps:spPr>
                        <a:xfrm>
                          <a:off x="0" y="0"/>
                          <a:ext cx="189865" cy="197485"/>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8CD8B" id="Rectangle 3" o:spid="_x0000_s1026" alt="Title: Box with green shading" style="position:absolute;margin-left:0;margin-top:25.5pt;width:14.95pt;height:15.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" fillcolor="#a8d08d [1945]" stroked="f" strokeweight="1pt">
                <w10:wrap type="square" anchorx="margin"/>
              </v:rect>
            </w:pict>
          </mc:Fallback>
        </mc:AlternateContent>
      </w:r>
    </w:p>
    <w:p w14:paraId="4188A92A" w14:textId="4FA2C9B8" w:rsidR="00B950D8" w:rsidRPr="00993D9C" w:rsidRDefault="00993D9C" w:rsidP="00B950D8">
      <w:pPr>
        <w:rPr>
          <w:sz w:val="20"/>
          <w:szCs w:val="20"/>
        </w:rPr>
      </w:pPr>
      <w:r w:rsidRPr="00737E16">
        <w:rPr>
          <w:sz w:val="20"/>
          <w:szCs w:val="20"/>
        </w:rPr>
        <w:t>All HHS</w:t>
      </w:r>
      <w:r>
        <w:rPr>
          <w:sz w:val="20"/>
          <w:szCs w:val="20"/>
        </w:rPr>
        <w:t xml:space="preserve"> </w:t>
      </w:r>
      <w:r w:rsidR="0084053A">
        <w:rPr>
          <w:sz w:val="20"/>
          <w:szCs w:val="20"/>
        </w:rPr>
        <w:tab/>
      </w:r>
      <w:r w:rsidR="0084053A">
        <w:rPr>
          <w:sz w:val="20"/>
          <w:szCs w:val="20"/>
        </w:rPr>
        <w:tab/>
      </w:r>
      <w:r w:rsidR="00B950D8" w:rsidRPr="00993D9C">
        <w:rPr>
          <w:sz w:val="20"/>
          <w:szCs w:val="20"/>
        </w:rPr>
        <w:t>≥3 x higher than All HHs</w:t>
      </w:r>
      <w:r w:rsidR="00B950D8" w:rsidRPr="00993D9C">
        <w:rPr>
          <w:sz w:val="20"/>
          <w:szCs w:val="20"/>
          <w:vertAlign w:val="superscript"/>
        </w:rPr>
        <w:footnoteReference w:id="31"/>
      </w:r>
    </w:p>
    <w:p w14:paraId="32CE7FAF" w14:textId="77F1DBCA" w:rsidR="00B950D8" w:rsidRPr="00B950D8" w:rsidRDefault="00B950D8" w:rsidP="00B950D8">
      <w:pPr>
        <w:pStyle w:val="Heading2"/>
        <w:rPr>
          <w:sz w:val="32"/>
        </w:rPr>
      </w:pPr>
      <w:bookmarkStart w:id="17" w:name="_Toc21416513"/>
      <w:r>
        <w:rPr>
          <w:sz w:val="32"/>
        </w:rPr>
        <w:t xml:space="preserve">Newstart producing Financial Insecurity &amp; </w:t>
      </w:r>
      <w:r w:rsidRPr="00B950D8">
        <w:rPr>
          <w:sz w:val="32"/>
        </w:rPr>
        <w:t>Hardship</w:t>
      </w:r>
      <w:bookmarkEnd w:id="17"/>
    </w:p>
    <w:p w14:paraId="13F9E6C2" w14:textId="77777777" w:rsidR="00B950D8" w:rsidRPr="00D55730" w:rsidRDefault="00B950D8" w:rsidP="00B950D8">
      <w:r w:rsidRPr="00B950D8">
        <w:t xml:space="preserve">The distribution of responses to the 16 indicators used to construct the Standard of Living Index are telling in terms of the differences in the financial vulnerability of households with members with disability and in receipt of either the DSP or NSA </w:t>
      </w:r>
      <w:r w:rsidRPr="00D55730">
        <w:t xml:space="preserve">compared with all Australian households.  </w:t>
      </w:r>
    </w:p>
    <w:p w14:paraId="370524BB" w14:textId="7516529A" w:rsidR="00B950D8" w:rsidRPr="00B950D8" w:rsidRDefault="00B950D8" w:rsidP="00B950D8">
      <w:r w:rsidRPr="00D55730">
        <w:t>On 15 of the 16 indicators the proportion of households with a member with disability and on NSA answering yes to these questions was more than twice that for all Australian households, and on 12 indicators 3 or more times higher. The proportion of families with a member on the DSP answering</w:t>
      </w:r>
      <w:r w:rsidRPr="00B950D8">
        <w:t xml:space="preserve"> yes to these questions was at least twice that of all households on 12 indicators. </w:t>
      </w:r>
    </w:p>
    <w:p w14:paraId="746BCBA3" w14:textId="77777777" w:rsidR="00B950D8" w:rsidRPr="00D55730" w:rsidRDefault="00B950D8" w:rsidP="00B950D8">
      <w:r w:rsidRPr="00D55730">
        <w:t xml:space="preserve">Overall, nearly one in four Australian households thought their standard of living was worse (in 2015/16) than 2 years previously. </w:t>
      </w:r>
    </w:p>
    <w:p w14:paraId="5B5EF0B3" w14:textId="6670296B" w:rsidR="00B950D8" w:rsidRPr="00D55730" w:rsidRDefault="00B950D8" w:rsidP="00B950D8">
      <w:r w:rsidRPr="00D55730">
        <w:t xml:space="preserve">However, over a third of households with a person with disability on the DSP thought their standard of living had dropped and a staggering 55 per cent of those receiving NSA.  </w:t>
      </w:r>
    </w:p>
    <w:p w14:paraId="6444E9E7" w14:textId="77777777" w:rsidR="00B950D8" w:rsidRPr="00D55730" w:rsidRDefault="00B950D8" w:rsidP="00B950D8">
      <w:pPr>
        <w:rPr>
          <w:rStyle w:val="Strong"/>
        </w:rPr>
      </w:pPr>
      <w:r w:rsidRPr="00D55730">
        <w:rPr>
          <w:rStyle w:val="Strong"/>
        </w:rPr>
        <w:t>Cost of Disability – Income Gaps in Standards of Living</w:t>
      </w:r>
    </w:p>
    <w:p w14:paraId="42CE2BD1" w14:textId="77777777" w:rsidR="00B950D8" w:rsidRPr="00B950D8" w:rsidRDefault="00B950D8" w:rsidP="00B950D8">
      <w:r w:rsidRPr="00B950D8">
        <w:t xml:space="preserve">Overall, in 2015 to obtain the same standards of living of similar households without an adult with disability, households with members with disability needed </w:t>
      </w:r>
      <w:r w:rsidRPr="00D55730">
        <w:t xml:space="preserve">on average an additional $107 a week over and above their net (disposable) income (including benefits received). </w:t>
      </w:r>
      <w:r w:rsidRPr="00B950D8">
        <w:t>Couple households needed an extra $152 per week compared to an additional $46 found among single adult households, and households with members having profound/severe disability needed on average an extra $173 per week compared with $87 for those with mild/moderate severity.</w:t>
      </w:r>
    </w:p>
    <w:p w14:paraId="253692E3" w14:textId="39ADE7B5" w:rsidR="00B950D8" w:rsidRPr="00B950D8" w:rsidRDefault="00B950D8" w:rsidP="00B950D8">
      <w:pPr>
        <w:spacing w:after="0" w:line="240" w:lineRule="auto"/>
        <w:rPr>
          <w:b/>
        </w:rPr>
      </w:pPr>
      <w:r>
        <w:rPr>
          <w:b/>
        </w:rPr>
        <w:br w:type="page"/>
      </w:r>
    </w:p>
    <w:p w14:paraId="7C4E9E24" w14:textId="77777777" w:rsidR="00B950D8" w:rsidRPr="00B950D8" w:rsidRDefault="00B950D8" w:rsidP="00B950D8">
      <w:pPr>
        <w:pStyle w:val="Heading2"/>
        <w:rPr>
          <w:sz w:val="32"/>
        </w:rPr>
      </w:pPr>
      <w:bookmarkStart w:id="18" w:name="_Toc21416514"/>
      <w:r w:rsidRPr="00B950D8">
        <w:rPr>
          <w:sz w:val="32"/>
        </w:rPr>
        <w:t>Conclusion</w:t>
      </w:r>
      <w:bookmarkEnd w:id="18"/>
    </w:p>
    <w:p w14:paraId="59F73380" w14:textId="1A6E16C8" w:rsidR="00B950D8" w:rsidRDefault="00B950D8" w:rsidP="00B950D8">
      <w:r w:rsidRPr="00B950D8">
        <w:t xml:space="preserve">It is of significant concern to AFDO that almost 200,000 people with disability are now living on </w:t>
      </w:r>
      <w:r>
        <w:t xml:space="preserve">the inappropriate </w:t>
      </w:r>
      <w:r w:rsidRPr="00B950D8">
        <w:t xml:space="preserve">Newstart </w:t>
      </w:r>
      <w:r>
        <w:t xml:space="preserve">Allowance, </w:t>
      </w:r>
      <w:r w:rsidRPr="00B950D8">
        <w:t xml:space="preserve">following successive governments tightening eligibility to the Disability Support Pension.  </w:t>
      </w:r>
    </w:p>
    <w:p w14:paraId="6F15BF5D" w14:textId="23E62EF9" w:rsidR="00B950D8" w:rsidRPr="00B950D8" w:rsidRDefault="00B950D8" w:rsidP="00B950D8">
      <w:r>
        <w:t xml:space="preserve">There are significant </w:t>
      </w:r>
      <w:r w:rsidRPr="00B950D8">
        <w:t>additional costs of living with disability i</w:t>
      </w:r>
      <w:r>
        <w:t xml:space="preserve">ncluding accessible housing, </w:t>
      </w:r>
      <w:r w:rsidRPr="00B950D8">
        <w:t>transport and access to health services</w:t>
      </w:r>
      <w:r>
        <w:t>, to name a few</w:t>
      </w:r>
      <w:r w:rsidRPr="00B950D8">
        <w:t xml:space="preserve">.  These costs are particularly acute for people with disability living in regional and remote areas of Australia.  </w:t>
      </w:r>
    </w:p>
    <w:p w14:paraId="305B4F64" w14:textId="55E25BA1" w:rsidR="00B950D8" w:rsidRPr="00B950D8" w:rsidRDefault="00B950D8" w:rsidP="00B950D8">
      <w:r w:rsidRPr="00B950D8">
        <w:t>AFDO believes the financial cost of living with a disability and the declining access to the DSP is causing significant economic, social and psychological stress and unnecessary hardship for people with disability</w:t>
      </w:r>
      <w:r>
        <w:t>.</w:t>
      </w:r>
    </w:p>
    <w:p w14:paraId="3A018BDE" w14:textId="10A56C51" w:rsidR="00B950D8" w:rsidRPr="00B950D8" w:rsidRDefault="00B950D8" w:rsidP="00B950D8">
      <w:r w:rsidRPr="00B950D8">
        <w:t xml:space="preserve">The Newstart Allowance </w:t>
      </w:r>
      <w:r w:rsidRPr="00D55730">
        <w:rPr>
          <w:u w:val="single"/>
        </w:rPr>
        <w:t>does not</w:t>
      </w:r>
      <w:r w:rsidRPr="00B950D8">
        <w:t xml:space="preserve"> adequately cover the day </w:t>
      </w:r>
      <w:r>
        <w:t>to day cost for people without disability and t</w:t>
      </w:r>
      <w:r w:rsidRPr="00B950D8">
        <w:t xml:space="preserve">his inadequacy becomes </w:t>
      </w:r>
      <w:r>
        <w:t xml:space="preserve">even </w:t>
      </w:r>
      <w:r w:rsidRPr="00B950D8">
        <w:t>more acu</w:t>
      </w:r>
      <w:r>
        <w:t>te for people with disability who have greater costs of living.</w:t>
      </w:r>
    </w:p>
    <w:p w14:paraId="0C09EBD1" w14:textId="3D8FAD15" w:rsidR="00B950D8" w:rsidRDefault="00B950D8" w:rsidP="00B950D8">
      <w:r w:rsidRPr="00B950D8">
        <w:t xml:space="preserve">AFDO believes that people with disability who need to </w:t>
      </w:r>
      <w:r>
        <w:t xml:space="preserve">be on </w:t>
      </w:r>
      <w:r w:rsidRPr="00B950D8">
        <w:t>the Disability Support Pension should have access to the Disability Support Pension</w:t>
      </w:r>
      <w:r>
        <w:t xml:space="preserve">, </w:t>
      </w:r>
      <w:r w:rsidR="00C724D2">
        <w:t xml:space="preserve">and </w:t>
      </w:r>
      <w:r>
        <w:t xml:space="preserve">not </w:t>
      </w:r>
      <w:r w:rsidR="00C724D2">
        <w:t xml:space="preserve">be </w:t>
      </w:r>
      <w:r>
        <w:t>pushed onto an inapp</w:t>
      </w:r>
      <w:r w:rsidR="00C724D2">
        <w:t>ropriate level of support for their needs</w:t>
      </w:r>
      <w:r w:rsidRPr="00B950D8">
        <w:t xml:space="preserve">.  </w:t>
      </w:r>
    </w:p>
    <w:p w14:paraId="685F83A3" w14:textId="73A8630D" w:rsidR="00B950D8" w:rsidRPr="00B950D8" w:rsidRDefault="00B950D8" w:rsidP="00B950D8">
      <w:pPr>
        <w:rPr>
          <w:b/>
        </w:rPr>
      </w:pPr>
      <w:r w:rsidRPr="00B950D8">
        <w:rPr>
          <w:b/>
        </w:rPr>
        <w:t>The current Newstart Allowance is not an appropriate social benefit for people with disability and is grossly inadequate.</w:t>
      </w:r>
    </w:p>
    <w:p w14:paraId="13A8C7AD" w14:textId="77777777" w:rsidR="00B950D8" w:rsidRDefault="00B950D8">
      <w:pPr>
        <w:spacing w:after="0" w:line="240" w:lineRule="auto"/>
        <w:rPr>
          <w:b/>
        </w:rPr>
      </w:pPr>
      <w:r>
        <w:rPr>
          <w:b/>
        </w:rPr>
        <w:br w:type="page"/>
      </w:r>
    </w:p>
    <w:p w14:paraId="3349E2B3" w14:textId="5FD89A6A" w:rsidR="00B950D8" w:rsidRPr="00B950D8" w:rsidRDefault="00B950D8" w:rsidP="00B950D8">
      <w:pPr>
        <w:pStyle w:val="Heading2"/>
        <w:rPr>
          <w:sz w:val="32"/>
        </w:rPr>
      </w:pPr>
      <w:bookmarkStart w:id="19" w:name="_Toc21416515"/>
      <w:r w:rsidRPr="00B950D8">
        <w:rPr>
          <w:sz w:val="32"/>
        </w:rPr>
        <w:t>Recommendations</w:t>
      </w:r>
      <w:bookmarkEnd w:id="19"/>
      <w:r w:rsidRPr="00B950D8">
        <w:rPr>
          <w:sz w:val="32"/>
        </w:rPr>
        <w:t xml:space="preserve"> </w:t>
      </w:r>
    </w:p>
    <w:p w14:paraId="7A5C9E36" w14:textId="58EF0AA1" w:rsidR="00B950D8" w:rsidRDefault="00B950D8" w:rsidP="00B950D8">
      <w:pPr>
        <w:numPr>
          <w:ilvl w:val="0"/>
          <w:numId w:val="13"/>
        </w:numPr>
      </w:pPr>
      <w:r>
        <w:t xml:space="preserve">That the </w:t>
      </w:r>
      <w:r w:rsidRPr="00B950D8">
        <w:t xml:space="preserve">Newstart Allowance be urgently reviewed and increased to ensure that it is </w:t>
      </w:r>
      <w:r>
        <w:t xml:space="preserve">kept </w:t>
      </w:r>
      <w:r w:rsidRPr="00B950D8">
        <w:t xml:space="preserve">above the accepted poverty line and maintained </w:t>
      </w:r>
      <w:r>
        <w:t>ongoing</w:t>
      </w:r>
      <w:r w:rsidR="00137FD6">
        <w:t xml:space="preserve"> </w:t>
      </w:r>
      <w:r w:rsidR="00C724D2">
        <w:t>with this also linked to</w:t>
      </w:r>
      <w:r w:rsidRPr="00B950D8">
        <w:t xml:space="preserve"> </w:t>
      </w:r>
      <w:r w:rsidR="00137FD6">
        <w:t>the rates</w:t>
      </w:r>
      <w:r>
        <w:t xml:space="preserve"> provided by like </w:t>
      </w:r>
      <w:r w:rsidRPr="00B950D8">
        <w:t>OECD countries</w:t>
      </w:r>
      <w:r>
        <w:t xml:space="preserve"> that are in line with</w:t>
      </w:r>
      <w:r w:rsidRPr="00B950D8">
        <w:t xml:space="preserve"> Australia</w:t>
      </w:r>
      <w:r>
        <w:t xml:space="preserve">’s international </w:t>
      </w:r>
      <w:r w:rsidR="00C724D2">
        <w:t xml:space="preserve">level and </w:t>
      </w:r>
      <w:r>
        <w:t>standing</w:t>
      </w:r>
    </w:p>
    <w:p w14:paraId="13375251" w14:textId="139DA762" w:rsidR="00B950D8" w:rsidRDefault="00B950D8" w:rsidP="00B950D8">
      <w:pPr>
        <w:numPr>
          <w:ilvl w:val="0"/>
          <w:numId w:val="13"/>
        </w:numPr>
      </w:pPr>
      <w:r>
        <w:t xml:space="preserve">That an </w:t>
      </w:r>
      <w:r w:rsidRPr="00B950D8">
        <w:t xml:space="preserve">urgent review </w:t>
      </w:r>
      <w:r>
        <w:t xml:space="preserve">be undertaken </w:t>
      </w:r>
      <w:r w:rsidRPr="00B950D8">
        <w:t>into the adequacy of the Disabil</w:t>
      </w:r>
      <w:r>
        <w:t>i</w:t>
      </w:r>
      <w:r w:rsidRPr="00B950D8">
        <w:t>ty Support Pension</w:t>
      </w:r>
      <w:r>
        <w:t xml:space="preserve"> on a similar basis, and that this includes a revision of the eligibility and application process</w:t>
      </w:r>
    </w:p>
    <w:p w14:paraId="50F9E736" w14:textId="4E32E096" w:rsidR="009F6A9C" w:rsidRDefault="00B950D8" w:rsidP="00B950D8">
      <w:pPr>
        <w:numPr>
          <w:ilvl w:val="0"/>
          <w:numId w:val="13"/>
        </w:numPr>
      </w:pPr>
      <w:r>
        <w:t>That th</w:t>
      </w:r>
      <w:r w:rsidR="00137FD6">
        <w:t>e eligibility for the DSP be returned to the requirements which were in operation pre changes made to these in 2014-2015</w:t>
      </w:r>
    </w:p>
    <w:p w14:paraId="036A2D58" w14:textId="3ACFECA5" w:rsidR="00B950D8" w:rsidRPr="00B950D8" w:rsidRDefault="00B950D8" w:rsidP="00B950D8">
      <w:pPr>
        <w:numPr>
          <w:ilvl w:val="0"/>
          <w:numId w:val="13"/>
        </w:numPr>
      </w:pPr>
      <w:r>
        <w:t xml:space="preserve">That no further persons with disability be placed on the Newstart Allowance by having their mutual obligations removed as a replacement for the Disability Support Pension </w:t>
      </w:r>
    </w:p>
    <w:sectPr w:rsidR="00B950D8" w:rsidRPr="00B950D8" w:rsidSect="00993D9C">
      <w:type w:val="continuous"/>
      <w:pgSz w:w="11901" w:h="16817"/>
      <w:pgMar w:top="851" w:right="1134" w:bottom="993" w:left="1418" w:header="709" w:footer="35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57AB8" w14:textId="77777777" w:rsidR="00942A9F" w:rsidRDefault="00942A9F">
      <w:pPr>
        <w:spacing w:after="0"/>
      </w:pPr>
      <w:r>
        <w:separator/>
      </w:r>
    </w:p>
  </w:endnote>
  <w:endnote w:type="continuationSeparator" w:id="0">
    <w:p w14:paraId="10E89B22" w14:textId="77777777" w:rsidR="00942A9F" w:rsidRDefault="00942A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altName w:val="Times New Roman"/>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9553274"/>
      <w:docPartObj>
        <w:docPartGallery w:val="Page Numbers (Bottom of Page)"/>
        <w:docPartUnique/>
      </w:docPartObj>
    </w:sdtPr>
    <w:sdtEndPr>
      <w:rPr>
        <w:sz w:val="20"/>
        <w:szCs w:val="20"/>
      </w:rPr>
    </w:sdtEndPr>
    <w:sdtContent>
      <w:sdt>
        <w:sdtPr>
          <w:rPr>
            <w:sz w:val="16"/>
          </w:rPr>
          <w:id w:val="-1769616900"/>
          <w:docPartObj>
            <w:docPartGallery w:val="Page Numbers (Top of Page)"/>
            <w:docPartUnique/>
          </w:docPartObj>
        </w:sdtPr>
        <w:sdtEndPr>
          <w:rPr>
            <w:sz w:val="20"/>
            <w:szCs w:val="20"/>
          </w:rPr>
        </w:sdtEndPr>
        <w:sdtContent>
          <w:p w14:paraId="50E79F96" w14:textId="2D464512" w:rsidR="00137FD6" w:rsidRPr="00D55730" w:rsidRDefault="00137FD6" w:rsidP="00137FD6">
            <w:pPr>
              <w:pStyle w:val="Footer"/>
              <w:rPr>
                <w:sz w:val="20"/>
                <w:szCs w:val="20"/>
              </w:rPr>
            </w:pPr>
            <w:r w:rsidRPr="00D55730">
              <w:rPr>
                <w:sz w:val="20"/>
                <w:szCs w:val="20"/>
              </w:rPr>
              <w:t>AFDO – Senate Inquiry Submission – Newstart Allowance - October 2019</w:t>
            </w:r>
            <w:r w:rsidRPr="00D55730">
              <w:rPr>
                <w:sz w:val="20"/>
                <w:szCs w:val="20"/>
              </w:rPr>
              <w:tab/>
              <w:t xml:space="preserve">Page </w:t>
            </w:r>
            <w:r w:rsidRPr="00D55730">
              <w:rPr>
                <w:b/>
                <w:bCs/>
                <w:sz w:val="20"/>
                <w:szCs w:val="20"/>
              </w:rPr>
              <w:fldChar w:fldCharType="begin"/>
            </w:r>
            <w:r w:rsidRPr="00D55730">
              <w:rPr>
                <w:b/>
                <w:bCs/>
                <w:sz w:val="20"/>
                <w:szCs w:val="20"/>
              </w:rPr>
              <w:instrText xml:space="preserve"> PAGE </w:instrText>
            </w:r>
            <w:r w:rsidRPr="00D55730">
              <w:rPr>
                <w:b/>
                <w:bCs/>
                <w:sz w:val="20"/>
                <w:szCs w:val="20"/>
              </w:rPr>
              <w:fldChar w:fldCharType="separate"/>
            </w:r>
            <w:r w:rsidR="00221D50">
              <w:rPr>
                <w:b/>
                <w:bCs/>
                <w:noProof/>
                <w:sz w:val="20"/>
                <w:szCs w:val="20"/>
              </w:rPr>
              <w:t>15</w:t>
            </w:r>
            <w:r w:rsidRPr="00D55730">
              <w:rPr>
                <w:b/>
                <w:bCs/>
                <w:sz w:val="20"/>
                <w:szCs w:val="20"/>
              </w:rPr>
              <w:fldChar w:fldCharType="end"/>
            </w:r>
            <w:r w:rsidRPr="00D55730">
              <w:rPr>
                <w:sz w:val="20"/>
                <w:szCs w:val="20"/>
              </w:rPr>
              <w:t xml:space="preserve"> of </w:t>
            </w:r>
            <w:r w:rsidRPr="00D55730">
              <w:rPr>
                <w:b/>
                <w:bCs/>
                <w:sz w:val="20"/>
                <w:szCs w:val="20"/>
              </w:rPr>
              <w:fldChar w:fldCharType="begin"/>
            </w:r>
            <w:r w:rsidRPr="00D55730">
              <w:rPr>
                <w:b/>
                <w:bCs/>
                <w:sz w:val="20"/>
                <w:szCs w:val="20"/>
              </w:rPr>
              <w:instrText xml:space="preserve"> NUMPAGES  </w:instrText>
            </w:r>
            <w:r w:rsidRPr="00D55730">
              <w:rPr>
                <w:b/>
                <w:bCs/>
                <w:sz w:val="20"/>
                <w:szCs w:val="20"/>
              </w:rPr>
              <w:fldChar w:fldCharType="separate"/>
            </w:r>
            <w:r w:rsidR="00221D50">
              <w:rPr>
                <w:b/>
                <w:bCs/>
                <w:noProof/>
                <w:sz w:val="20"/>
                <w:szCs w:val="20"/>
              </w:rPr>
              <w:t>17</w:t>
            </w:r>
            <w:r w:rsidRPr="00D55730">
              <w:rPr>
                <w:b/>
                <w:bCs/>
                <w:sz w:val="20"/>
                <w:szCs w:val="20"/>
              </w:rPr>
              <w:fldChar w:fldCharType="end"/>
            </w:r>
          </w:p>
        </w:sdtContent>
      </w:sdt>
    </w:sdtContent>
  </w:sdt>
  <w:p w14:paraId="5163B7A8" w14:textId="77777777" w:rsidR="00137FD6" w:rsidRDefault="00137F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942070"/>
      <w:docPartObj>
        <w:docPartGallery w:val="Page Numbers (Bottom of Page)"/>
        <w:docPartUnique/>
      </w:docPartObj>
    </w:sdtPr>
    <w:sdtEndPr>
      <w:rPr>
        <w:noProof/>
        <w:sz w:val="28"/>
        <w:szCs w:val="28"/>
      </w:rPr>
    </w:sdtEndPr>
    <w:sdtContent>
      <w:p w14:paraId="33771DDE" w14:textId="77777777" w:rsidR="00942A9F" w:rsidRPr="009F1A6D" w:rsidRDefault="00942A9F">
        <w:pPr>
          <w:pStyle w:val="Footer"/>
          <w:jc w:val="center"/>
          <w:rPr>
            <w:sz w:val="28"/>
            <w:szCs w:val="28"/>
          </w:rPr>
        </w:pPr>
        <w:r w:rsidRPr="009F1A6D">
          <w:rPr>
            <w:sz w:val="28"/>
            <w:szCs w:val="28"/>
          </w:rPr>
          <w:fldChar w:fldCharType="begin"/>
        </w:r>
        <w:r w:rsidRPr="009F1A6D">
          <w:rPr>
            <w:sz w:val="28"/>
            <w:szCs w:val="28"/>
          </w:rPr>
          <w:instrText xml:space="preserve"> PAGE   \* MERGEFORMAT </w:instrText>
        </w:r>
        <w:r w:rsidRPr="009F1A6D">
          <w:rPr>
            <w:sz w:val="28"/>
            <w:szCs w:val="28"/>
          </w:rPr>
          <w:fldChar w:fldCharType="separate"/>
        </w:r>
        <w:r w:rsidR="00B950D8">
          <w:rPr>
            <w:noProof/>
            <w:sz w:val="28"/>
            <w:szCs w:val="28"/>
          </w:rPr>
          <w:t>4</w:t>
        </w:r>
        <w:r w:rsidRPr="009F1A6D">
          <w:rPr>
            <w:noProof/>
            <w:sz w:val="28"/>
            <w:szCs w:val="28"/>
          </w:rPr>
          <w:fldChar w:fldCharType="end"/>
        </w:r>
      </w:p>
    </w:sdtContent>
  </w:sdt>
  <w:p w14:paraId="7BC1AB75" w14:textId="77777777" w:rsidR="00942A9F" w:rsidRDefault="00942A9F" w:rsidP="004D6D08">
    <w:pPr>
      <w:pStyle w:val="Footer"/>
      <w:tabs>
        <w:tab w:val="clear" w:pos="8640"/>
        <w:tab w:val="right" w:pos="9639"/>
      </w:tabs>
    </w:pPr>
    <w:r>
      <w:rPr>
        <w:noProof/>
        <w:lang w:val="en-AU" w:eastAsia="en-AU"/>
      </w:rPr>
      <mc:AlternateContent>
        <mc:Choice Requires="wps">
          <w:drawing>
            <wp:anchor distT="0" distB="0" distL="114300" distR="114300" simplePos="0" relativeHeight="251661312" behindDoc="0" locked="0" layoutInCell="1" allowOverlap="1" wp14:anchorId="67D66663" wp14:editId="2722DA47">
              <wp:simplePos x="0" y="0"/>
              <wp:positionH relativeFrom="column">
                <wp:posOffset>-1099820</wp:posOffset>
              </wp:positionH>
              <wp:positionV relativeFrom="paragraph">
                <wp:posOffset>409575</wp:posOffset>
              </wp:positionV>
              <wp:extent cx="8093075" cy="777875"/>
              <wp:effectExtent l="0" t="0" r="3175" b="3175"/>
              <wp:wrapNone/>
              <wp:docPr id="11"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777875"/>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F7F16" id="Rectangle 11" o:spid="_x0000_s1026" alt="Decorative element" style="position:absolute;margin-left:-86.6pt;margin-top:32.25pt;width:637.25pt;height:6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" fillcolor="#009690" stroked="f"/>
          </w:pict>
        </mc:Fallback>
      </mc:AlternateContent>
    </w:r>
    <w:r>
      <w:rPr>
        <w:noProof/>
        <w:lang w:val="en-AU" w:eastAsia="en-AU"/>
      </w:rPr>
      <mc:AlternateContent>
        <mc:Choice Requires="wps">
          <w:drawing>
            <wp:anchor distT="0" distB="0" distL="114300" distR="114300" simplePos="0" relativeHeight="251663360" behindDoc="0" locked="0" layoutInCell="1" allowOverlap="1" wp14:anchorId="7F1CA85C" wp14:editId="3E2E4136">
              <wp:simplePos x="0" y="0"/>
              <wp:positionH relativeFrom="column">
                <wp:posOffset>-1101090</wp:posOffset>
              </wp:positionH>
              <wp:positionV relativeFrom="paragraph">
                <wp:posOffset>238760</wp:posOffset>
              </wp:positionV>
              <wp:extent cx="8093075" cy="240030"/>
              <wp:effectExtent l="0" t="0" r="3175" b="7620"/>
              <wp:wrapNone/>
              <wp:docPr id="12"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40030"/>
                      </a:xfrm>
                      <a:prstGeom prst="rect">
                        <a:avLst/>
                      </a:prstGeom>
                      <a:solidFill>
                        <a:srgbClr val="41190B"/>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BD955" id="Rectangle 12" o:spid="_x0000_s1026" alt="Decorative element" style="position:absolute;margin-left:-86.7pt;margin-top:18.8pt;width:637.25pt;height:1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" fillcolor="#41190b" strok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E61D3" w14:textId="77777777" w:rsidR="00942A9F" w:rsidRDefault="00942A9F">
      <w:pPr>
        <w:spacing w:after="0"/>
      </w:pPr>
      <w:r>
        <w:separator/>
      </w:r>
    </w:p>
  </w:footnote>
  <w:footnote w:type="continuationSeparator" w:id="0">
    <w:p w14:paraId="0FD9AFAA" w14:textId="77777777" w:rsidR="00942A9F" w:rsidRDefault="00942A9F">
      <w:pPr>
        <w:spacing w:after="0"/>
      </w:pPr>
      <w:r>
        <w:continuationSeparator/>
      </w:r>
    </w:p>
  </w:footnote>
  <w:footnote w:id="1">
    <w:p w14:paraId="4E38E2B2" w14:textId="77777777" w:rsidR="00B950D8" w:rsidRPr="00CF5C61" w:rsidRDefault="00B950D8" w:rsidP="00B950D8">
      <w:pPr>
        <w:spacing w:line="240" w:lineRule="auto"/>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Department of Human Services, </w:t>
      </w:r>
      <w:r w:rsidRPr="00CF5C61">
        <w:rPr>
          <w:rFonts w:asciiTheme="majorBidi" w:hAnsiTheme="majorBidi" w:cstheme="majorBidi"/>
          <w:i/>
          <w:color w:val="000000" w:themeColor="text1"/>
          <w:sz w:val="21"/>
          <w:szCs w:val="21"/>
        </w:rPr>
        <w:t>Disability Support Pension</w:t>
      </w:r>
      <w:r w:rsidRPr="00CF5C61">
        <w:rPr>
          <w:rFonts w:asciiTheme="majorBidi" w:hAnsiTheme="majorBidi" w:cstheme="majorBidi"/>
          <w:color w:val="000000" w:themeColor="text1"/>
          <w:sz w:val="21"/>
          <w:szCs w:val="21"/>
        </w:rPr>
        <w:t xml:space="preserve"> (22 October 2018) &lt;https://www.humanservices.gov.au/individuals/services/centrelink/disability-support-pension&gt;.</w:t>
      </w:r>
    </w:p>
  </w:footnote>
  <w:footnote w:id="2">
    <w:p w14:paraId="775D96FC" w14:textId="77777777" w:rsidR="00B950D8" w:rsidRPr="00B950D8" w:rsidRDefault="00B950D8" w:rsidP="00B950D8">
      <w:pPr>
        <w:rPr>
          <w:rFonts w:ascii="Times New Roman" w:hAnsi="Times New Roman"/>
          <w:sz w:val="21"/>
          <w:szCs w:val="21"/>
          <w:lang w:val="en-AU"/>
        </w:rPr>
      </w:pPr>
      <w:r>
        <w:rPr>
          <w:rStyle w:val="FootnoteReference"/>
        </w:rPr>
        <w:footnoteRef/>
      </w:r>
      <w:r>
        <w:t xml:space="preserve"> </w:t>
      </w:r>
      <w:r w:rsidRPr="00B950D8">
        <w:rPr>
          <w:rFonts w:ascii="Times New Roman" w:hAnsi="Times New Roman"/>
          <w:sz w:val="21"/>
          <w:szCs w:val="21"/>
        </w:rPr>
        <w:t xml:space="preserve">Committee on Economic, Social and Cultural Rights, </w:t>
      </w:r>
      <w:r w:rsidRPr="00B950D8">
        <w:rPr>
          <w:rFonts w:ascii="Times New Roman" w:hAnsi="Times New Roman"/>
          <w:i/>
          <w:sz w:val="21"/>
          <w:szCs w:val="21"/>
        </w:rPr>
        <w:t xml:space="preserve">General Comment No 19 (2008): The Right to Social Security, </w:t>
      </w:r>
      <w:r w:rsidRPr="00B950D8">
        <w:rPr>
          <w:rFonts w:ascii="Times New Roman" w:hAnsi="Times New Roman"/>
          <w:sz w:val="21"/>
          <w:szCs w:val="21"/>
        </w:rPr>
        <w:t>39</w:t>
      </w:r>
      <w:r w:rsidRPr="00B950D8">
        <w:rPr>
          <w:rFonts w:ascii="Times New Roman" w:hAnsi="Times New Roman"/>
          <w:sz w:val="21"/>
          <w:szCs w:val="21"/>
          <w:vertAlign w:val="superscript"/>
        </w:rPr>
        <w:t>th</w:t>
      </w:r>
      <w:r w:rsidRPr="00B950D8">
        <w:rPr>
          <w:rFonts w:ascii="Times New Roman" w:hAnsi="Times New Roman"/>
          <w:sz w:val="21"/>
          <w:szCs w:val="21"/>
        </w:rPr>
        <w:t xml:space="preserve"> </w:t>
      </w:r>
      <w:proofErr w:type="spellStart"/>
      <w:r w:rsidRPr="00B950D8">
        <w:rPr>
          <w:rFonts w:ascii="Times New Roman" w:hAnsi="Times New Roman"/>
          <w:sz w:val="21"/>
          <w:szCs w:val="21"/>
        </w:rPr>
        <w:t>sess</w:t>
      </w:r>
      <w:proofErr w:type="spellEnd"/>
      <w:r w:rsidRPr="00B950D8">
        <w:rPr>
          <w:rFonts w:ascii="Times New Roman" w:hAnsi="Times New Roman"/>
          <w:sz w:val="21"/>
          <w:szCs w:val="21"/>
        </w:rPr>
        <w:t xml:space="preserve">, UN Doc E/C.12/GC/19 (4 February 2008) para 3; United Nations General Assembly, </w:t>
      </w:r>
      <w:r w:rsidRPr="00B950D8">
        <w:rPr>
          <w:rFonts w:ascii="Times New Roman" w:hAnsi="Times New Roman"/>
          <w:i/>
          <w:sz w:val="21"/>
          <w:szCs w:val="21"/>
        </w:rPr>
        <w:t>Report of the Special Rapporteur on the rights of persons with disabilities</w:t>
      </w:r>
      <w:r w:rsidRPr="00B950D8">
        <w:rPr>
          <w:rFonts w:ascii="Times New Roman" w:hAnsi="Times New Roman"/>
          <w:sz w:val="21"/>
          <w:szCs w:val="21"/>
        </w:rPr>
        <w:t>, 70</w:t>
      </w:r>
      <w:r w:rsidRPr="00B950D8">
        <w:rPr>
          <w:rFonts w:ascii="Times New Roman" w:hAnsi="Times New Roman"/>
          <w:sz w:val="21"/>
          <w:szCs w:val="21"/>
          <w:vertAlign w:val="superscript"/>
        </w:rPr>
        <w:t>th</w:t>
      </w:r>
      <w:r w:rsidRPr="00B950D8">
        <w:rPr>
          <w:rFonts w:ascii="Times New Roman" w:hAnsi="Times New Roman"/>
          <w:sz w:val="21"/>
          <w:szCs w:val="21"/>
        </w:rPr>
        <w:t xml:space="preserve"> </w:t>
      </w:r>
      <w:proofErr w:type="spellStart"/>
      <w:r w:rsidRPr="00B950D8">
        <w:rPr>
          <w:rFonts w:ascii="Times New Roman" w:hAnsi="Times New Roman"/>
          <w:sz w:val="21"/>
          <w:szCs w:val="21"/>
        </w:rPr>
        <w:t>sess</w:t>
      </w:r>
      <w:proofErr w:type="spellEnd"/>
      <w:r w:rsidRPr="00B950D8">
        <w:rPr>
          <w:rFonts w:ascii="Times New Roman" w:hAnsi="Times New Roman"/>
          <w:sz w:val="21"/>
          <w:szCs w:val="21"/>
        </w:rPr>
        <w:t>, UN Doc A/70/297 (7 August 2015) para 7.</w:t>
      </w:r>
    </w:p>
  </w:footnote>
  <w:footnote w:id="3">
    <w:p w14:paraId="5C7636F5" w14:textId="77777777" w:rsidR="00B950D8" w:rsidRPr="00E26433" w:rsidRDefault="00B950D8" w:rsidP="00B950D8">
      <w:pPr>
        <w:pStyle w:val="FootnoteText"/>
        <w:rPr>
          <w:lang w:val="en-AU"/>
        </w:rPr>
      </w:pPr>
      <w:r>
        <w:rPr>
          <w:rStyle w:val="FootnoteReference"/>
        </w:rPr>
        <w:footnoteRef/>
      </w:r>
      <w:r>
        <w:t xml:space="preserve"> </w:t>
      </w:r>
      <w:r w:rsidRPr="00E54769">
        <w:rPr>
          <w:i/>
          <w:sz w:val="16"/>
          <w:szCs w:val="16"/>
        </w:rPr>
        <w:t>Bridging Our Divide: Inequality in Australia</w:t>
      </w:r>
      <w:r w:rsidRPr="00E54769">
        <w:rPr>
          <w:sz w:val="16"/>
          <w:szCs w:val="16"/>
        </w:rPr>
        <w:t>, Community Affairs References Committee, The Senate, December 2014.</w:t>
      </w:r>
    </w:p>
  </w:footnote>
  <w:footnote w:id="4">
    <w:p w14:paraId="3E27471F" w14:textId="77777777" w:rsidR="00B950D8" w:rsidRPr="00E54769" w:rsidRDefault="00B950D8" w:rsidP="00B950D8">
      <w:pPr>
        <w:spacing w:after="0" w:line="240" w:lineRule="auto"/>
        <w:rPr>
          <w:sz w:val="16"/>
          <w:szCs w:val="16"/>
        </w:rPr>
      </w:pPr>
      <w:r w:rsidRPr="00E54769">
        <w:rPr>
          <w:sz w:val="16"/>
          <w:szCs w:val="16"/>
          <w:vertAlign w:val="superscript"/>
        </w:rPr>
        <w:footnoteRef/>
      </w:r>
      <w:r w:rsidRPr="00E54769">
        <w:rPr>
          <w:sz w:val="16"/>
          <w:szCs w:val="16"/>
        </w:rPr>
        <w:t xml:space="preserve"> ‘Newstart and other Government Allowances: Incomes, Financial Stress and Poverty’ (2019), ANU Centre for Social Research and Methods.</w:t>
      </w:r>
    </w:p>
  </w:footnote>
  <w:footnote w:id="5">
    <w:p w14:paraId="03E03C3E" w14:textId="77777777" w:rsidR="00B950D8" w:rsidRPr="00E54769" w:rsidRDefault="00B950D8" w:rsidP="00B950D8">
      <w:pPr>
        <w:spacing w:after="0" w:line="240" w:lineRule="auto"/>
        <w:rPr>
          <w:sz w:val="16"/>
          <w:szCs w:val="16"/>
        </w:rPr>
      </w:pPr>
      <w:r w:rsidRPr="00E54769">
        <w:rPr>
          <w:sz w:val="16"/>
          <w:szCs w:val="16"/>
          <w:vertAlign w:val="superscript"/>
        </w:rPr>
        <w:footnoteRef/>
      </w:r>
      <w:r w:rsidRPr="00E54769">
        <w:rPr>
          <w:sz w:val="16"/>
          <w:szCs w:val="16"/>
        </w:rPr>
        <w:t xml:space="preserve"> </w:t>
      </w:r>
      <w:r w:rsidRPr="00E54769">
        <w:rPr>
          <w:i/>
          <w:sz w:val="16"/>
          <w:szCs w:val="16"/>
        </w:rPr>
        <w:t>Bridging Our Divide: Inequality in Australia</w:t>
      </w:r>
      <w:r w:rsidRPr="00E54769">
        <w:rPr>
          <w:sz w:val="16"/>
          <w:szCs w:val="16"/>
        </w:rPr>
        <w:t>, Community Affairs References Committee, The Senate, December 2014.</w:t>
      </w:r>
    </w:p>
  </w:footnote>
  <w:footnote w:id="6">
    <w:p w14:paraId="4C73D10B" w14:textId="77777777" w:rsidR="00B950D8" w:rsidRPr="00E54769" w:rsidRDefault="00B950D8" w:rsidP="00B950D8">
      <w:pPr>
        <w:spacing w:after="0" w:line="240" w:lineRule="auto"/>
        <w:rPr>
          <w:sz w:val="16"/>
          <w:szCs w:val="16"/>
        </w:rPr>
      </w:pPr>
      <w:r w:rsidRPr="00E54769">
        <w:rPr>
          <w:sz w:val="16"/>
          <w:szCs w:val="16"/>
          <w:vertAlign w:val="superscript"/>
        </w:rPr>
        <w:footnoteRef/>
      </w:r>
      <w:r w:rsidRPr="00E54769">
        <w:rPr>
          <w:sz w:val="16"/>
          <w:szCs w:val="16"/>
        </w:rPr>
        <w:t xml:space="preserve"> </w:t>
      </w:r>
      <w:r w:rsidRPr="00E54769">
        <w:rPr>
          <w:i/>
          <w:sz w:val="16"/>
          <w:szCs w:val="16"/>
        </w:rPr>
        <w:t>OECD Benefits and wages data base (2017)</w:t>
      </w:r>
      <w:r w:rsidRPr="00E54769">
        <w:rPr>
          <w:sz w:val="16"/>
          <w:szCs w:val="16"/>
        </w:rPr>
        <w:t>.This calculation was done in relation to the after-tax pay of a single adult production worker, and included any housing benefits. The other OECD country with the lowest rate is Greece.</w:t>
      </w:r>
    </w:p>
  </w:footnote>
  <w:footnote w:id="7">
    <w:p w14:paraId="12276785" w14:textId="77777777" w:rsidR="00B950D8" w:rsidRPr="00E54769" w:rsidRDefault="00B950D8" w:rsidP="00B950D8">
      <w:pPr>
        <w:spacing w:after="0" w:line="240" w:lineRule="auto"/>
        <w:rPr>
          <w:sz w:val="16"/>
          <w:szCs w:val="16"/>
        </w:rPr>
      </w:pPr>
      <w:r w:rsidRPr="00E54769">
        <w:rPr>
          <w:sz w:val="16"/>
          <w:szCs w:val="16"/>
          <w:vertAlign w:val="superscript"/>
        </w:rPr>
        <w:footnoteRef/>
      </w:r>
      <w:r w:rsidRPr="00E54769">
        <w:rPr>
          <w:sz w:val="16"/>
          <w:szCs w:val="16"/>
        </w:rPr>
        <w:t xml:space="preserve"> Saunders, P &amp; Bedford M (2017), New Minimum Income for Healthy Living Budget Standards for Low-Paid and Unemployed Australians. Social Policy Research Centre, UNSW Sydney.</w:t>
      </w:r>
    </w:p>
  </w:footnote>
  <w:footnote w:id="8">
    <w:p w14:paraId="0CBB089A" w14:textId="77777777" w:rsidR="00B950D8" w:rsidRDefault="00B950D8" w:rsidP="00B950D8">
      <w:pPr>
        <w:spacing w:after="0" w:line="240" w:lineRule="auto"/>
        <w:rPr>
          <w:sz w:val="20"/>
          <w:szCs w:val="20"/>
        </w:rPr>
      </w:pPr>
      <w:r w:rsidRPr="00E54769">
        <w:rPr>
          <w:sz w:val="16"/>
          <w:szCs w:val="16"/>
          <w:vertAlign w:val="superscript"/>
        </w:rPr>
        <w:footnoteRef/>
      </w:r>
      <w:r w:rsidRPr="00E54769">
        <w:rPr>
          <w:sz w:val="16"/>
          <w:szCs w:val="16"/>
        </w:rPr>
        <w:t xml:space="preserve"> </w:t>
      </w:r>
      <w:r w:rsidRPr="00E54769">
        <w:rPr>
          <w:i/>
          <w:sz w:val="16"/>
          <w:szCs w:val="16"/>
        </w:rPr>
        <w:t>Department of Social Services, DSS Payment Demographics Data (2018)</w:t>
      </w:r>
    </w:p>
  </w:footnote>
  <w:footnote w:id="9">
    <w:p w14:paraId="7E45A0A8" w14:textId="77777777" w:rsidR="00B950D8" w:rsidRPr="00B950D8" w:rsidRDefault="00B950D8" w:rsidP="00B950D8">
      <w:pPr>
        <w:pStyle w:val="FootnoteText"/>
        <w:rPr>
          <w:rFonts w:ascii="Times New Roman" w:hAnsi="Times New Roman"/>
          <w:sz w:val="21"/>
          <w:szCs w:val="21"/>
          <w:lang w:val="en-AU"/>
        </w:rPr>
      </w:pPr>
      <w:r w:rsidRPr="00B950D8">
        <w:rPr>
          <w:rStyle w:val="FootnoteReference"/>
          <w:rFonts w:ascii="Times New Roman" w:hAnsi="Times New Roman"/>
          <w:sz w:val="21"/>
          <w:szCs w:val="21"/>
        </w:rPr>
        <w:footnoteRef/>
      </w:r>
      <w:r w:rsidRPr="00B950D8">
        <w:rPr>
          <w:rFonts w:ascii="Times New Roman" w:hAnsi="Times New Roman"/>
          <w:sz w:val="21"/>
          <w:szCs w:val="21"/>
        </w:rPr>
        <w:t xml:space="preserve"> </w:t>
      </w:r>
      <w:proofErr w:type="spellStart"/>
      <w:r w:rsidRPr="00B950D8">
        <w:rPr>
          <w:rFonts w:ascii="Times New Roman" w:hAnsi="Times New Roman"/>
          <w:sz w:val="21"/>
          <w:szCs w:val="21"/>
        </w:rPr>
        <w:t>Jinjing</w:t>
      </w:r>
      <w:proofErr w:type="spellEnd"/>
      <w:r w:rsidRPr="00B950D8">
        <w:rPr>
          <w:rFonts w:ascii="Times New Roman" w:hAnsi="Times New Roman"/>
          <w:sz w:val="21"/>
          <w:szCs w:val="21"/>
        </w:rPr>
        <w:t xml:space="preserve"> Li, Hai Anh La, Laurie Brown, </w:t>
      </w:r>
      <w:proofErr w:type="spellStart"/>
      <w:r w:rsidRPr="00B950D8">
        <w:rPr>
          <w:rFonts w:ascii="Times New Roman" w:hAnsi="Times New Roman"/>
          <w:sz w:val="21"/>
          <w:szCs w:val="21"/>
        </w:rPr>
        <w:t>Riyana</w:t>
      </w:r>
      <w:proofErr w:type="spellEnd"/>
      <w:r w:rsidRPr="00B950D8">
        <w:rPr>
          <w:rFonts w:ascii="Times New Roman" w:hAnsi="Times New Roman"/>
          <w:sz w:val="21"/>
          <w:szCs w:val="21"/>
        </w:rPr>
        <w:t xml:space="preserve"> </w:t>
      </w:r>
      <w:proofErr w:type="spellStart"/>
      <w:r w:rsidRPr="00B950D8">
        <w:rPr>
          <w:rFonts w:ascii="Times New Roman" w:hAnsi="Times New Roman"/>
          <w:sz w:val="21"/>
          <w:szCs w:val="21"/>
        </w:rPr>
        <w:t>Miranti</w:t>
      </w:r>
      <w:proofErr w:type="spellEnd"/>
      <w:r w:rsidRPr="00B950D8">
        <w:rPr>
          <w:rFonts w:ascii="Times New Roman" w:hAnsi="Times New Roman"/>
          <w:sz w:val="21"/>
          <w:szCs w:val="21"/>
        </w:rPr>
        <w:t xml:space="preserve"> and Yogi </w:t>
      </w:r>
      <w:proofErr w:type="spellStart"/>
      <w:r w:rsidRPr="00B950D8">
        <w:rPr>
          <w:rFonts w:ascii="Times New Roman" w:hAnsi="Times New Roman"/>
          <w:sz w:val="21"/>
          <w:szCs w:val="21"/>
        </w:rPr>
        <w:t>Vidyattama</w:t>
      </w:r>
      <w:proofErr w:type="spellEnd"/>
      <w:r w:rsidRPr="00B950D8">
        <w:rPr>
          <w:rFonts w:ascii="Times New Roman" w:hAnsi="Times New Roman"/>
          <w:sz w:val="21"/>
          <w:szCs w:val="21"/>
        </w:rPr>
        <w:t xml:space="preserve"> Inequalities in Standards of Living: evidence for Improved Income Support for People with Disability” National Centre for Social and Economic Modelling” September 2019</w:t>
      </w:r>
    </w:p>
  </w:footnote>
  <w:footnote w:id="10">
    <w:p w14:paraId="0442A7DF" w14:textId="77777777" w:rsidR="00B950D8" w:rsidRPr="008033D5" w:rsidRDefault="00B950D8" w:rsidP="00B950D8">
      <w:pPr>
        <w:spacing w:after="0"/>
        <w:rPr>
          <w:b/>
          <w:color w:val="343434"/>
          <w:sz w:val="28"/>
          <w:szCs w:val="72"/>
          <w:lang w:val="en"/>
        </w:rPr>
      </w:pPr>
      <w:r w:rsidRPr="00B950D8">
        <w:rPr>
          <w:rStyle w:val="FootnoteReference"/>
          <w:rFonts w:ascii="Times New Roman" w:hAnsi="Times New Roman"/>
          <w:sz w:val="21"/>
          <w:szCs w:val="21"/>
        </w:rPr>
        <w:footnoteRef/>
      </w:r>
      <w:r w:rsidRPr="00B950D8">
        <w:rPr>
          <w:rFonts w:ascii="Times New Roman" w:hAnsi="Times New Roman"/>
          <w:sz w:val="21"/>
          <w:szCs w:val="21"/>
        </w:rPr>
        <w:t xml:space="preserve"> </w:t>
      </w:r>
      <w:r w:rsidRPr="00B950D8">
        <w:rPr>
          <w:rFonts w:ascii="Times New Roman" w:hAnsi="Times New Roman"/>
          <w:color w:val="343434"/>
          <w:sz w:val="21"/>
          <w:szCs w:val="21"/>
          <w:lang w:val="en"/>
        </w:rPr>
        <w:t xml:space="preserve">Eunice </w:t>
      </w:r>
      <w:proofErr w:type="spellStart"/>
      <w:r w:rsidRPr="00B950D8">
        <w:rPr>
          <w:rFonts w:ascii="Times New Roman" w:hAnsi="Times New Roman"/>
          <w:color w:val="343434"/>
          <w:sz w:val="21"/>
          <w:szCs w:val="21"/>
          <w:lang w:val="en"/>
        </w:rPr>
        <w:t>Ghita</w:t>
      </w:r>
      <w:proofErr w:type="spellEnd"/>
      <w:r w:rsidRPr="00B950D8">
        <w:rPr>
          <w:rFonts w:ascii="Times New Roman" w:hAnsi="Times New Roman"/>
          <w:color w:val="343434"/>
          <w:sz w:val="21"/>
          <w:szCs w:val="21"/>
          <w:lang w:val="en"/>
        </w:rPr>
        <w:t xml:space="preserve"> and Eliza Waters, “Thematic Analysis of Administrative Appeals Tribunal (AAT) Decisions Involving Claiming and Reviewing the Disability Support Pension” Disability Human Rights Clinic Melbourne Law School 2018</w:t>
      </w:r>
      <w:r>
        <w:rPr>
          <w:rFonts w:ascii="Times New Roman" w:hAnsi="Times New Roman"/>
          <w:color w:val="343434"/>
          <w:sz w:val="20"/>
          <w:szCs w:val="20"/>
          <w:lang w:val="en"/>
        </w:rPr>
        <w:t xml:space="preserve"> </w:t>
      </w:r>
    </w:p>
  </w:footnote>
  <w:footnote w:id="11">
    <w:p w14:paraId="50314D62" w14:textId="77777777" w:rsidR="00B950D8" w:rsidRPr="00B950D8" w:rsidRDefault="00B950D8" w:rsidP="00B950D8">
      <w:pPr>
        <w:spacing w:after="0" w:line="240" w:lineRule="auto"/>
        <w:rPr>
          <w:rFonts w:ascii="Times New Roman" w:hAnsi="Times New Roman"/>
          <w:color w:val="000000" w:themeColor="text1"/>
          <w:sz w:val="21"/>
          <w:szCs w:val="21"/>
        </w:rPr>
      </w:pPr>
      <w:r w:rsidRPr="00B950D8">
        <w:rPr>
          <w:rFonts w:ascii="Times New Roman" w:hAnsi="Times New Roman"/>
          <w:color w:val="000000" w:themeColor="text1"/>
          <w:sz w:val="21"/>
          <w:szCs w:val="21"/>
          <w:vertAlign w:val="superscript"/>
        </w:rPr>
        <w:footnoteRef/>
      </w:r>
      <w:r w:rsidRPr="00B950D8">
        <w:rPr>
          <w:rFonts w:ascii="Times New Roman" w:hAnsi="Times New Roman"/>
          <w:color w:val="000000" w:themeColor="text1"/>
          <w:sz w:val="21"/>
          <w:szCs w:val="21"/>
        </w:rPr>
        <w:t xml:space="preserve"> Michelle </w:t>
      </w:r>
      <w:proofErr w:type="spellStart"/>
      <w:r w:rsidRPr="00B950D8">
        <w:rPr>
          <w:rFonts w:ascii="Times New Roman" w:hAnsi="Times New Roman"/>
          <w:color w:val="000000" w:themeColor="text1"/>
          <w:sz w:val="21"/>
          <w:szCs w:val="21"/>
        </w:rPr>
        <w:t>Fitts</w:t>
      </w:r>
      <w:proofErr w:type="spellEnd"/>
      <w:r w:rsidRPr="00B950D8">
        <w:rPr>
          <w:rFonts w:ascii="Times New Roman" w:hAnsi="Times New Roman"/>
          <w:color w:val="000000" w:themeColor="text1"/>
          <w:sz w:val="21"/>
          <w:szCs w:val="21"/>
        </w:rPr>
        <w:t xml:space="preserve"> and Karen </w:t>
      </w:r>
      <w:proofErr w:type="spellStart"/>
      <w:r w:rsidRPr="00B950D8">
        <w:rPr>
          <w:rFonts w:ascii="Times New Roman" w:hAnsi="Times New Roman"/>
          <w:color w:val="000000" w:themeColor="text1"/>
          <w:sz w:val="21"/>
          <w:szCs w:val="21"/>
        </w:rPr>
        <w:t>Soldatic</w:t>
      </w:r>
      <w:proofErr w:type="spellEnd"/>
      <w:r w:rsidRPr="00B950D8">
        <w:rPr>
          <w:rFonts w:ascii="Times New Roman" w:hAnsi="Times New Roman"/>
          <w:color w:val="000000" w:themeColor="text1"/>
          <w:sz w:val="21"/>
          <w:szCs w:val="21"/>
        </w:rPr>
        <w:t xml:space="preserve"> ‘Disability Income Reform and Service Innovation: Countering Racial and Regional Discrimination’ (2018) 12 (1) </w:t>
      </w:r>
      <w:r w:rsidRPr="00B950D8">
        <w:rPr>
          <w:rFonts w:ascii="Times New Roman" w:hAnsi="Times New Roman"/>
          <w:i/>
          <w:color w:val="000000" w:themeColor="text1"/>
          <w:sz w:val="21"/>
          <w:szCs w:val="21"/>
        </w:rPr>
        <w:t xml:space="preserve">Global Media Journal Australian Edition </w:t>
      </w:r>
      <w:r w:rsidRPr="00B950D8">
        <w:rPr>
          <w:rFonts w:ascii="Times New Roman" w:hAnsi="Times New Roman"/>
          <w:color w:val="000000" w:themeColor="text1"/>
          <w:sz w:val="21"/>
          <w:szCs w:val="21"/>
        </w:rPr>
        <w:t xml:space="preserve">1, 2, 10. </w:t>
      </w:r>
    </w:p>
  </w:footnote>
  <w:footnote w:id="12">
    <w:p w14:paraId="0E72884A" w14:textId="77777777" w:rsidR="00B950D8" w:rsidRPr="00B950D8" w:rsidRDefault="00B950D8" w:rsidP="00B950D8">
      <w:pPr>
        <w:pBdr>
          <w:top w:val="nil"/>
          <w:left w:val="nil"/>
          <w:bottom w:val="nil"/>
          <w:right w:val="nil"/>
          <w:between w:val="nil"/>
        </w:pBdr>
        <w:spacing w:after="0" w:line="240" w:lineRule="auto"/>
        <w:rPr>
          <w:rFonts w:ascii="Times New Roman" w:hAnsi="Times New Roman"/>
          <w:color w:val="000000" w:themeColor="text1"/>
          <w:sz w:val="21"/>
          <w:szCs w:val="21"/>
        </w:rPr>
      </w:pPr>
      <w:r w:rsidRPr="00B950D8">
        <w:rPr>
          <w:rFonts w:ascii="Times New Roman" w:hAnsi="Times New Roman"/>
          <w:color w:val="000000" w:themeColor="text1"/>
          <w:sz w:val="21"/>
          <w:szCs w:val="21"/>
          <w:vertAlign w:val="superscript"/>
        </w:rPr>
        <w:footnoteRef/>
      </w:r>
      <w:r w:rsidRPr="00B950D8">
        <w:rPr>
          <w:rFonts w:ascii="Times New Roman" w:hAnsi="Times New Roman"/>
          <w:color w:val="000000" w:themeColor="text1"/>
          <w:sz w:val="21"/>
          <w:szCs w:val="21"/>
        </w:rPr>
        <w:t xml:space="preserve"> </w:t>
      </w:r>
      <w:r w:rsidRPr="00B950D8">
        <w:rPr>
          <w:rFonts w:ascii="Times New Roman" w:hAnsi="Times New Roman"/>
          <w:i/>
          <w:color w:val="000000" w:themeColor="text1"/>
          <w:sz w:val="21"/>
          <w:szCs w:val="21"/>
        </w:rPr>
        <w:t>Social Security Act 1991</w:t>
      </w:r>
      <w:r w:rsidRPr="00B950D8">
        <w:rPr>
          <w:rFonts w:ascii="Times New Roman" w:hAnsi="Times New Roman"/>
          <w:color w:val="000000" w:themeColor="text1"/>
          <w:sz w:val="21"/>
          <w:szCs w:val="21"/>
        </w:rPr>
        <w:t xml:space="preserve"> (</w:t>
      </w:r>
      <w:proofErr w:type="spellStart"/>
      <w:r w:rsidRPr="00B950D8">
        <w:rPr>
          <w:rFonts w:ascii="Times New Roman" w:hAnsi="Times New Roman"/>
          <w:color w:val="000000" w:themeColor="text1"/>
          <w:sz w:val="21"/>
          <w:szCs w:val="21"/>
        </w:rPr>
        <w:t>Cth</w:t>
      </w:r>
      <w:proofErr w:type="spellEnd"/>
      <w:r w:rsidRPr="00B950D8">
        <w:rPr>
          <w:rFonts w:ascii="Times New Roman" w:hAnsi="Times New Roman"/>
          <w:color w:val="000000" w:themeColor="text1"/>
          <w:sz w:val="21"/>
          <w:szCs w:val="21"/>
        </w:rPr>
        <w:t>) s 94 (‘</w:t>
      </w:r>
      <w:r w:rsidRPr="00B950D8">
        <w:rPr>
          <w:rFonts w:ascii="Times New Roman" w:hAnsi="Times New Roman"/>
          <w:i/>
          <w:color w:val="000000" w:themeColor="text1"/>
          <w:sz w:val="21"/>
          <w:szCs w:val="21"/>
        </w:rPr>
        <w:t>Social Security Act’</w:t>
      </w:r>
      <w:r w:rsidRPr="00B950D8">
        <w:rPr>
          <w:rFonts w:ascii="Times New Roman" w:hAnsi="Times New Roman"/>
          <w:color w:val="000000" w:themeColor="text1"/>
          <w:sz w:val="21"/>
          <w:szCs w:val="21"/>
        </w:rPr>
        <w:t xml:space="preserve">). </w:t>
      </w:r>
    </w:p>
  </w:footnote>
  <w:footnote w:id="13">
    <w:p w14:paraId="58CDA811" w14:textId="77777777" w:rsidR="00B950D8" w:rsidRPr="00CF5C61" w:rsidRDefault="00B950D8" w:rsidP="00B950D8">
      <w:pPr>
        <w:pBdr>
          <w:top w:val="nil"/>
          <w:left w:val="nil"/>
          <w:bottom w:val="nil"/>
          <w:right w:val="nil"/>
          <w:between w:val="nil"/>
        </w:pBdr>
        <w:spacing w:after="0" w:line="240" w:lineRule="auto"/>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Different eligibility requirements apply to people with permanent blindness. See </w:t>
      </w:r>
      <w:r w:rsidRPr="00CF5C61">
        <w:rPr>
          <w:rFonts w:asciiTheme="majorBidi" w:hAnsiTheme="majorBidi" w:cstheme="majorBidi"/>
          <w:i/>
          <w:color w:val="000000" w:themeColor="text1"/>
          <w:sz w:val="21"/>
          <w:szCs w:val="21"/>
        </w:rPr>
        <w:t>Social Security Act 1991</w:t>
      </w:r>
      <w:r w:rsidRPr="00CF5C61">
        <w:rPr>
          <w:rFonts w:asciiTheme="majorBidi" w:hAnsiTheme="majorBidi" w:cstheme="majorBidi"/>
          <w:color w:val="000000" w:themeColor="text1"/>
          <w:sz w:val="21"/>
          <w:szCs w:val="21"/>
        </w:rPr>
        <w:t xml:space="preserve"> (</w:t>
      </w:r>
      <w:proofErr w:type="spellStart"/>
      <w:r w:rsidRPr="00CF5C61">
        <w:rPr>
          <w:rFonts w:asciiTheme="majorBidi" w:hAnsiTheme="majorBidi" w:cstheme="majorBidi"/>
          <w:color w:val="000000" w:themeColor="text1"/>
          <w:sz w:val="21"/>
          <w:szCs w:val="21"/>
        </w:rPr>
        <w:t>Cth</w:t>
      </w:r>
      <w:proofErr w:type="spellEnd"/>
      <w:r w:rsidRPr="00CF5C61">
        <w:rPr>
          <w:rFonts w:asciiTheme="majorBidi" w:hAnsiTheme="majorBidi" w:cstheme="majorBidi"/>
          <w:color w:val="000000" w:themeColor="text1"/>
          <w:sz w:val="21"/>
          <w:szCs w:val="21"/>
        </w:rPr>
        <w:t xml:space="preserve">) s 95. </w:t>
      </w:r>
    </w:p>
  </w:footnote>
  <w:footnote w:id="14">
    <w:p w14:paraId="64B57F9F" w14:textId="77777777" w:rsidR="00B950D8" w:rsidRPr="00CF5C61" w:rsidRDefault="00B950D8" w:rsidP="00B950D8">
      <w:pPr>
        <w:spacing w:after="0" w:line="240" w:lineRule="auto"/>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w:t>
      </w:r>
      <w:r w:rsidRPr="00CF5C61">
        <w:rPr>
          <w:rFonts w:asciiTheme="majorBidi" w:hAnsiTheme="majorBidi" w:cstheme="majorBidi"/>
          <w:i/>
          <w:color w:val="000000" w:themeColor="text1"/>
          <w:sz w:val="21"/>
          <w:szCs w:val="21"/>
        </w:rPr>
        <w:t>Social Security Act 1991</w:t>
      </w:r>
      <w:r w:rsidRPr="00CF5C61">
        <w:rPr>
          <w:rFonts w:asciiTheme="majorBidi" w:hAnsiTheme="majorBidi" w:cstheme="majorBidi"/>
          <w:color w:val="000000" w:themeColor="text1"/>
          <w:sz w:val="21"/>
          <w:szCs w:val="21"/>
        </w:rPr>
        <w:t xml:space="preserve"> (</w:t>
      </w:r>
      <w:proofErr w:type="spellStart"/>
      <w:r w:rsidRPr="00CF5C61">
        <w:rPr>
          <w:rFonts w:asciiTheme="majorBidi" w:hAnsiTheme="majorBidi" w:cstheme="majorBidi"/>
          <w:color w:val="000000" w:themeColor="text1"/>
          <w:sz w:val="21"/>
          <w:szCs w:val="21"/>
        </w:rPr>
        <w:t>Cth</w:t>
      </w:r>
      <w:proofErr w:type="spellEnd"/>
      <w:r w:rsidRPr="00CF5C61">
        <w:rPr>
          <w:rFonts w:asciiTheme="majorBidi" w:hAnsiTheme="majorBidi" w:cstheme="majorBidi"/>
          <w:color w:val="000000" w:themeColor="text1"/>
          <w:sz w:val="21"/>
          <w:szCs w:val="21"/>
        </w:rPr>
        <w:t>) s 94(1)(b).</w:t>
      </w:r>
    </w:p>
  </w:footnote>
  <w:footnote w:id="15">
    <w:p w14:paraId="21EDE2BC" w14:textId="77777777" w:rsidR="00B950D8" w:rsidRPr="00CF5C61" w:rsidRDefault="00B950D8" w:rsidP="00B950D8">
      <w:pPr>
        <w:spacing w:after="0" w:line="240" w:lineRule="auto"/>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w:t>
      </w:r>
      <w:r w:rsidRPr="00CF5C61">
        <w:rPr>
          <w:rFonts w:asciiTheme="majorBidi" w:hAnsiTheme="majorBidi" w:cstheme="majorBidi"/>
          <w:i/>
          <w:color w:val="000000" w:themeColor="text1"/>
          <w:sz w:val="21"/>
          <w:szCs w:val="21"/>
        </w:rPr>
        <w:t xml:space="preserve">Social Security (Tables for the Assessment of Work-related Impairment for Disability Support Pension) Determination 2011 </w:t>
      </w:r>
      <w:r w:rsidRPr="00CF5C61">
        <w:rPr>
          <w:rFonts w:asciiTheme="majorBidi" w:hAnsiTheme="majorBidi" w:cstheme="majorBidi"/>
          <w:color w:val="000000" w:themeColor="text1"/>
          <w:sz w:val="21"/>
          <w:szCs w:val="21"/>
        </w:rPr>
        <w:t>(</w:t>
      </w:r>
      <w:proofErr w:type="spellStart"/>
      <w:r w:rsidRPr="00CF5C61">
        <w:rPr>
          <w:rFonts w:asciiTheme="majorBidi" w:hAnsiTheme="majorBidi" w:cstheme="majorBidi"/>
          <w:color w:val="000000" w:themeColor="text1"/>
          <w:sz w:val="21"/>
          <w:szCs w:val="21"/>
        </w:rPr>
        <w:t>Cth</w:t>
      </w:r>
      <w:proofErr w:type="spellEnd"/>
      <w:r w:rsidRPr="00CF5C61">
        <w:rPr>
          <w:rFonts w:asciiTheme="majorBidi" w:hAnsiTheme="majorBidi" w:cstheme="majorBidi"/>
          <w:color w:val="000000" w:themeColor="text1"/>
          <w:sz w:val="21"/>
          <w:szCs w:val="21"/>
        </w:rPr>
        <w:t>) s 11 (‘</w:t>
      </w:r>
      <w:r w:rsidRPr="00CF5C61">
        <w:rPr>
          <w:rFonts w:asciiTheme="majorBidi" w:hAnsiTheme="majorBidi" w:cstheme="majorBidi"/>
          <w:i/>
          <w:color w:val="000000" w:themeColor="text1"/>
          <w:sz w:val="21"/>
          <w:szCs w:val="21"/>
        </w:rPr>
        <w:t>Impairment Table</w:t>
      </w:r>
      <w:r w:rsidRPr="00CF5C61">
        <w:rPr>
          <w:rFonts w:asciiTheme="majorBidi" w:hAnsiTheme="majorBidi" w:cstheme="majorBidi"/>
          <w:color w:val="000000" w:themeColor="text1"/>
          <w:sz w:val="21"/>
          <w:szCs w:val="21"/>
        </w:rPr>
        <w:t xml:space="preserve">s’). </w:t>
      </w:r>
    </w:p>
  </w:footnote>
  <w:footnote w:id="16">
    <w:p w14:paraId="3E201652" w14:textId="77777777" w:rsidR="00B950D8" w:rsidRPr="00CF5C61" w:rsidRDefault="00B950D8" w:rsidP="00B950D8">
      <w:pPr>
        <w:spacing w:line="240" w:lineRule="auto"/>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Ibid s 11(1)-(2). </w:t>
      </w:r>
    </w:p>
  </w:footnote>
  <w:footnote w:id="17">
    <w:p w14:paraId="70052153" w14:textId="77777777" w:rsidR="00B950D8" w:rsidRPr="00CF5C61" w:rsidRDefault="00B950D8" w:rsidP="00B950D8">
      <w:pPr>
        <w:spacing w:after="0" w:line="240" w:lineRule="auto"/>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Ibid s 6(3).</w:t>
      </w:r>
    </w:p>
  </w:footnote>
  <w:footnote w:id="18">
    <w:p w14:paraId="0FDC6FAE" w14:textId="77777777" w:rsidR="00B950D8" w:rsidRPr="00CF5C61" w:rsidRDefault="00B950D8" w:rsidP="00B950D8">
      <w:pPr>
        <w:spacing w:after="0" w:line="240" w:lineRule="auto"/>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Ibid s 6(4).</w:t>
      </w:r>
    </w:p>
  </w:footnote>
  <w:footnote w:id="19">
    <w:p w14:paraId="16B529E0" w14:textId="77777777" w:rsidR="00B950D8" w:rsidRPr="00CF5C61" w:rsidRDefault="00B950D8" w:rsidP="00B950D8">
      <w:pPr>
        <w:spacing w:after="0" w:line="240" w:lineRule="auto"/>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Ibid s 6(6)(a). </w:t>
      </w:r>
    </w:p>
  </w:footnote>
  <w:footnote w:id="20">
    <w:p w14:paraId="3F142AAD" w14:textId="77777777" w:rsidR="00B950D8" w:rsidRPr="00CF5C61" w:rsidRDefault="00B950D8" w:rsidP="00B950D8">
      <w:pPr>
        <w:spacing w:after="0" w:line="240" w:lineRule="auto"/>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Ibid s 6(6)(b).</w:t>
      </w:r>
    </w:p>
  </w:footnote>
  <w:footnote w:id="21">
    <w:p w14:paraId="03B60073" w14:textId="77777777" w:rsidR="00B950D8" w:rsidRPr="00CF5C61" w:rsidRDefault="00B950D8" w:rsidP="00B950D8">
      <w:pPr>
        <w:spacing w:after="0" w:line="240" w:lineRule="auto"/>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Ibid s 7.</w:t>
      </w:r>
    </w:p>
  </w:footnote>
  <w:footnote w:id="22">
    <w:p w14:paraId="783BE7D5" w14:textId="77777777" w:rsidR="00B950D8" w:rsidRPr="00CF5C61" w:rsidRDefault="00B950D8" w:rsidP="00B950D8">
      <w:pPr>
        <w:spacing w:after="0" w:line="240" w:lineRule="auto"/>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Ibid s 6(1).</w:t>
      </w:r>
    </w:p>
  </w:footnote>
  <w:footnote w:id="23">
    <w:p w14:paraId="2D39CF17" w14:textId="77777777" w:rsidR="00B950D8" w:rsidRPr="00CF5C61" w:rsidRDefault="00B950D8" w:rsidP="00B950D8">
      <w:pPr>
        <w:spacing w:after="0" w:line="240" w:lineRule="auto"/>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Ibid. </w:t>
      </w:r>
    </w:p>
  </w:footnote>
  <w:footnote w:id="24">
    <w:p w14:paraId="1DCA70D0" w14:textId="77777777" w:rsidR="00B950D8" w:rsidRPr="00CF5C61" w:rsidRDefault="00B950D8" w:rsidP="00B950D8">
      <w:pPr>
        <w:spacing w:line="240" w:lineRule="auto"/>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Ibid. </w:t>
      </w:r>
    </w:p>
  </w:footnote>
  <w:footnote w:id="25">
    <w:p w14:paraId="7A568BAA" w14:textId="39A32ED3" w:rsidR="00B950D8" w:rsidRPr="004852AC" w:rsidRDefault="00B950D8" w:rsidP="00B950D8">
      <w:pPr>
        <w:pStyle w:val="FootnoteText"/>
        <w:rPr>
          <w:lang w:val="en-AU"/>
        </w:rPr>
      </w:pPr>
      <w:r>
        <w:rPr>
          <w:rStyle w:val="FootnoteReference"/>
        </w:rPr>
        <w:footnoteRef/>
      </w:r>
      <w:r>
        <w:t xml:space="preserve"> </w:t>
      </w:r>
      <w:proofErr w:type="spellStart"/>
      <w:r w:rsidRPr="00384D5A">
        <w:rPr>
          <w:rFonts w:ascii="Times New Roman" w:hAnsi="Times New Roman"/>
        </w:rPr>
        <w:t>Jinjing</w:t>
      </w:r>
      <w:proofErr w:type="spellEnd"/>
      <w:r w:rsidRPr="00384D5A">
        <w:rPr>
          <w:rFonts w:ascii="Times New Roman" w:hAnsi="Times New Roman"/>
        </w:rPr>
        <w:t xml:space="preserve"> Li, Hai Anh La, Laurie Brown, </w:t>
      </w:r>
      <w:proofErr w:type="spellStart"/>
      <w:r w:rsidRPr="00384D5A">
        <w:rPr>
          <w:rFonts w:ascii="Times New Roman" w:hAnsi="Times New Roman"/>
        </w:rPr>
        <w:t>Riyana</w:t>
      </w:r>
      <w:proofErr w:type="spellEnd"/>
      <w:r w:rsidRPr="00384D5A">
        <w:rPr>
          <w:rFonts w:ascii="Times New Roman" w:hAnsi="Times New Roman"/>
        </w:rPr>
        <w:t xml:space="preserve"> </w:t>
      </w:r>
      <w:proofErr w:type="spellStart"/>
      <w:r w:rsidRPr="00384D5A">
        <w:rPr>
          <w:rFonts w:ascii="Times New Roman" w:hAnsi="Times New Roman"/>
        </w:rPr>
        <w:t>Miranti</w:t>
      </w:r>
      <w:proofErr w:type="spellEnd"/>
      <w:r w:rsidRPr="00384D5A">
        <w:rPr>
          <w:rFonts w:ascii="Times New Roman" w:hAnsi="Times New Roman"/>
        </w:rPr>
        <w:t xml:space="preserve"> and Yogi </w:t>
      </w:r>
      <w:proofErr w:type="spellStart"/>
      <w:r w:rsidRPr="00384D5A">
        <w:rPr>
          <w:rFonts w:ascii="Times New Roman" w:hAnsi="Times New Roman"/>
        </w:rPr>
        <w:t>Vidyattama</w:t>
      </w:r>
      <w:proofErr w:type="spellEnd"/>
      <w:r w:rsidRPr="00384D5A">
        <w:rPr>
          <w:rFonts w:ascii="Times New Roman" w:hAnsi="Times New Roman"/>
        </w:rPr>
        <w:t xml:space="preserve"> Inequalities in Standards of Living: evidence for Improved Income Support for People with Disability” National Centre for Social and Ec</w:t>
      </w:r>
      <w:r>
        <w:rPr>
          <w:rFonts w:ascii="Times New Roman" w:hAnsi="Times New Roman"/>
        </w:rPr>
        <w:t>onomic Modelling” September 2019</w:t>
      </w:r>
    </w:p>
  </w:footnote>
  <w:footnote w:id="26">
    <w:p w14:paraId="6538EA1F" w14:textId="77777777" w:rsidR="00B950D8" w:rsidRPr="00B950D8" w:rsidRDefault="00B950D8" w:rsidP="00B950D8">
      <w:pPr>
        <w:pStyle w:val="Heading1"/>
        <w:shd w:val="clear" w:color="auto" w:fill="FFFFFF"/>
        <w:rPr>
          <w:rFonts w:asciiTheme="majorBidi" w:eastAsia="Cambria" w:hAnsiTheme="majorBidi" w:cstheme="majorBidi"/>
          <w:b w:val="0"/>
          <w:bCs w:val="0"/>
          <w:color w:val="auto"/>
          <w:kern w:val="24"/>
          <w:sz w:val="21"/>
          <w:szCs w:val="21"/>
          <w:vertAlign w:val="superscript"/>
        </w:rPr>
      </w:pPr>
      <w:r w:rsidRPr="00B950D8">
        <w:rPr>
          <w:rFonts w:asciiTheme="majorBidi" w:eastAsia="Cambria" w:hAnsiTheme="majorBidi" w:cstheme="majorBidi"/>
          <w:b w:val="0"/>
          <w:bCs w:val="0"/>
          <w:kern w:val="24"/>
          <w:sz w:val="16"/>
          <w:szCs w:val="21"/>
        </w:rPr>
        <w:footnoteRef/>
      </w:r>
      <w:r w:rsidRPr="00B950D8">
        <w:rPr>
          <w:rFonts w:asciiTheme="majorBidi" w:eastAsia="Cambria" w:hAnsiTheme="majorBidi" w:cstheme="majorBidi"/>
          <w:b w:val="0"/>
          <w:bCs w:val="0"/>
          <w:color w:val="auto"/>
          <w:kern w:val="24"/>
          <w:sz w:val="21"/>
          <w:szCs w:val="21"/>
          <w:vertAlign w:val="superscript"/>
        </w:rPr>
        <w:t xml:space="preserve"> </w:t>
      </w:r>
      <w:r w:rsidRPr="00B950D8">
        <w:rPr>
          <w:rFonts w:asciiTheme="majorBidi" w:eastAsia="Cambria" w:hAnsiTheme="majorBidi" w:cstheme="majorBidi"/>
          <w:b w:val="0"/>
          <w:bCs w:val="0"/>
          <w:color w:val="auto"/>
          <w:kern w:val="24"/>
          <w:sz w:val="24"/>
          <w:szCs w:val="21"/>
          <w:vertAlign w:val="superscript"/>
        </w:rPr>
        <w:t xml:space="preserve">Luke </w:t>
      </w:r>
      <w:proofErr w:type="spellStart"/>
      <w:r w:rsidRPr="00B950D8">
        <w:rPr>
          <w:rFonts w:asciiTheme="majorBidi" w:eastAsia="Cambria" w:hAnsiTheme="majorBidi" w:cstheme="majorBidi"/>
          <w:b w:val="0"/>
          <w:bCs w:val="0"/>
          <w:color w:val="auto"/>
          <w:kern w:val="24"/>
          <w:sz w:val="24"/>
          <w:szCs w:val="21"/>
          <w:vertAlign w:val="superscript"/>
        </w:rPr>
        <w:t>Henriques</w:t>
      </w:r>
      <w:proofErr w:type="spellEnd"/>
      <w:r w:rsidRPr="00B950D8">
        <w:rPr>
          <w:rFonts w:asciiTheme="majorBidi" w:eastAsia="Cambria" w:hAnsiTheme="majorBidi" w:cstheme="majorBidi"/>
          <w:b w:val="0"/>
          <w:bCs w:val="0"/>
          <w:color w:val="auto"/>
          <w:kern w:val="24"/>
          <w:sz w:val="24"/>
          <w:szCs w:val="21"/>
          <w:vertAlign w:val="superscript"/>
        </w:rPr>
        <w:t>-Gomes, “Record number of sick or disabled Newstart recipients as Coalition seeks savings” The Guardian Australia 10th April 2019</w:t>
      </w:r>
    </w:p>
  </w:footnote>
  <w:footnote w:id="27">
    <w:p w14:paraId="537AA0B8" w14:textId="77777777" w:rsidR="00B950D8" w:rsidRPr="00384D5A" w:rsidRDefault="00B950D8" w:rsidP="00B950D8">
      <w:pPr>
        <w:spacing w:after="0" w:line="240" w:lineRule="auto"/>
        <w:rPr>
          <w:rFonts w:asciiTheme="majorBidi" w:hAnsiTheme="majorBidi" w:cstheme="majorBidi"/>
          <w:sz w:val="21"/>
          <w:szCs w:val="21"/>
        </w:rPr>
      </w:pPr>
      <w:r w:rsidRPr="00384D5A">
        <w:rPr>
          <w:rFonts w:asciiTheme="majorBidi" w:hAnsiTheme="majorBidi" w:cstheme="majorBidi"/>
          <w:sz w:val="21"/>
          <w:szCs w:val="21"/>
          <w:vertAlign w:val="superscript"/>
        </w:rPr>
        <w:footnoteRef/>
      </w:r>
      <w:r w:rsidRPr="00384D5A">
        <w:rPr>
          <w:rFonts w:asciiTheme="majorBidi" w:hAnsiTheme="majorBidi" w:cstheme="majorBidi"/>
          <w:sz w:val="21"/>
          <w:szCs w:val="21"/>
        </w:rPr>
        <w:t xml:space="preserve"> This term was used in certain cases. See, </w:t>
      </w:r>
      <w:proofErr w:type="spellStart"/>
      <w:r w:rsidRPr="00384D5A">
        <w:rPr>
          <w:rFonts w:asciiTheme="majorBidi" w:hAnsiTheme="majorBidi" w:cstheme="majorBidi"/>
          <w:sz w:val="21"/>
          <w:szCs w:val="21"/>
        </w:rPr>
        <w:t>eg</w:t>
      </w:r>
      <w:proofErr w:type="spellEnd"/>
      <w:r w:rsidRPr="00384D5A">
        <w:rPr>
          <w:rFonts w:asciiTheme="majorBidi" w:hAnsiTheme="majorBidi" w:cstheme="majorBidi"/>
          <w:sz w:val="21"/>
          <w:szCs w:val="21"/>
        </w:rPr>
        <w:t xml:space="preserve">, </w:t>
      </w:r>
      <w:r w:rsidRPr="00384D5A">
        <w:rPr>
          <w:rFonts w:asciiTheme="majorBidi" w:hAnsiTheme="majorBidi" w:cstheme="majorBidi"/>
          <w:i/>
          <w:sz w:val="21"/>
          <w:szCs w:val="21"/>
        </w:rPr>
        <w:t xml:space="preserve">McDonald and Secretary, Department of Social Services (Social services second review) </w:t>
      </w:r>
      <w:r w:rsidRPr="00384D5A">
        <w:rPr>
          <w:rFonts w:asciiTheme="majorBidi" w:hAnsiTheme="majorBidi" w:cstheme="majorBidi"/>
          <w:sz w:val="21"/>
          <w:szCs w:val="21"/>
        </w:rPr>
        <w:t xml:space="preserve">[2017] AATA 2282 (20 November 2017), [41], [46]; </w:t>
      </w:r>
      <w:r w:rsidRPr="00384D5A">
        <w:rPr>
          <w:rFonts w:asciiTheme="majorBidi" w:hAnsiTheme="majorBidi" w:cstheme="majorBidi"/>
          <w:i/>
          <w:sz w:val="21"/>
          <w:szCs w:val="21"/>
        </w:rPr>
        <w:t>Taylor and Secretary, Department of Social Services (Social services second review)</w:t>
      </w:r>
      <w:r w:rsidRPr="00384D5A">
        <w:rPr>
          <w:rFonts w:asciiTheme="majorBidi" w:hAnsiTheme="majorBidi" w:cstheme="majorBidi"/>
          <w:sz w:val="21"/>
          <w:szCs w:val="21"/>
        </w:rPr>
        <w:t xml:space="preserve"> [2018] AATA 3632 (25 September 2018) [7].</w:t>
      </w:r>
    </w:p>
  </w:footnote>
  <w:footnote w:id="28">
    <w:p w14:paraId="22749D8B" w14:textId="77777777" w:rsidR="00B950D8" w:rsidRPr="008033D5" w:rsidRDefault="00B950D8" w:rsidP="00B950D8">
      <w:pPr>
        <w:pStyle w:val="FootnoteText"/>
        <w:rPr>
          <w:lang w:val="en-AU"/>
        </w:rPr>
      </w:pPr>
      <w:r w:rsidRPr="00384D5A">
        <w:rPr>
          <w:rStyle w:val="FootnoteReference"/>
        </w:rPr>
        <w:footnoteRef/>
      </w:r>
      <w:r w:rsidRPr="00384D5A">
        <w:t xml:space="preserve"> </w:t>
      </w:r>
      <w:r w:rsidRPr="00384D5A">
        <w:rPr>
          <w:rFonts w:ascii="Times New Roman" w:hAnsi="Times New Roman"/>
          <w:lang w:val="en"/>
        </w:rPr>
        <w:t xml:space="preserve">Eunice </w:t>
      </w:r>
      <w:proofErr w:type="spellStart"/>
      <w:r w:rsidRPr="00384D5A">
        <w:rPr>
          <w:rFonts w:ascii="Times New Roman" w:hAnsi="Times New Roman"/>
          <w:lang w:val="en"/>
        </w:rPr>
        <w:t>Ghita</w:t>
      </w:r>
      <w:proofErr w:type="spellEnd"/>
      <w:r w:rsidRPr="00384D5A">
        <w:rPr>
          <w:rFonts w:ascii="Times New Roman" w:hAnsi="Times New Roman"/>
          <w:lang w:val="en"/>
        </w:rPr>
        <w:t xml:space="preserve"> and Eliza Waters, “Thematic Analysis of Administrative Appeals Tribunal (AAT) Decisions Involving Claiming and Reviewing the Disability Support Pension” Disability Human Rights Clinic Melbourne Law School 2018</w:t>
      </w:r>
    </w:p>
  </w:footnote>
  <w:footnote w:id="29">
    <w:p w14:paraId="6ECCAA25" w14:textId="77777777" w:rsidR="00B950D8" w:rsidRPr="00007954" w:rsidRDefault="00B950D8" w:rsidP="00B950D8">
      <w:pPr>
        <w:ind w:right="-1141"/>
        <w:rPr>
          <w:rFonts w:ascii="Times New Roman" w:hAnsi="Times New Roman"/>
          <w:b/>
          <w:caps/>
          <w:sz w:val="20"/>
          <w:szCs w:val="20"/>
          <w:lang w:val="en-GB"/>
          <w14:ligatures w14:val="standardContextual"/>
        </w:rPr>
      </w:pPr>
      <w:r w:rsidRPr="00007954">
        <w:rPr>
          <w:rStyle w:val="FootnoteReference"/>
          <w:sz w:val="20"/>
          <w:szCs w:val="20"/>
        </w:rPr>
        <w:footnoteRef/>
      </w:r>
      <w:r>
        <w:t xml:space="preserve"> </w:t>
      </w:r>
      <w:proofErr w:type="spellStart"/>
      <w:r w:rsidRPr="00007954">
        <w:rPr>
          <w:rFonts w:ascii="Times New Roman" w:hAnsi="Times New Roman"/>
          <w:sz w:val="20"/>
          <w:szCs w:val="20"/>
        </w:rPr>
        <w:t>Jinjing</w:t>
      </w:r>
      <w:proofErr w:type="spellEnd"/>
      <w:r w:rsidRPr="00007954">
        <w:rPr>
          <w:rFonts w:ascii="Times New Roman" w:hAnsi="Times New Roman"/>
          <w:sz w:val="20"/>
          <w:szCs w:val="20"/>
        </w:rPr>
        <w:t xml:space="preserve"> Li, Hai Anh La, Laurie Brown, </w:t>
      </w:r>
      <w:proofErr w:type="spellStart"/>
      <w:r w:rsidRPr="00007954">
        <w:rPr>
          <w:rFonts w:ascii="Times New Roman" w:hAnsi="Times New Roman"/>
          <w:sz w:val="20"/>
          <w:szCs w:val="20"/>
        </w:rPr>
        <w:t>Riyana</w:t>
      </w:r>
      <w:proofErr w:type="spellEnd"/>
      <w:r w:rsidRPr="00007954">
        <w:rPr>
          <w:rFonts w:ascii="Times New Roman" w:hAnsi="Times New Roman"/>
          <w:sz w:val="20"/>
          <w:szCs w:val="20"/>
        </w:rPr>
        <w:t xml:space="preserve"> </w:t>
      </w:r>
      <w:proofErr w:type="spellStart"/>
      <w:r w:rsidRPr="00007954">
        <w:rPr>
          <w:rFonts w:ascii="Times New Roman" w:hAnsi="Times New Roman"/>
          <w:sz w:val="20"/>
          <w:szCs w:val="20"/>
        </w:rPr>
        <w:t>Miranti</w:t>
      </w:r>
      <w:proofErr w:type="spellEnd"/>
      <w:r w:rsidRPr="00007954">
        <w:rPr>
          <w:rFonts w:ascii="Times New Roman" w:hAnsi="Times New Roman"/>
          <w:sz w:val="20"/>
          <w:szCs w:val="20"/>
        </w:rPr>
        <w:t xml:space="preserve"> and Yogi </w:t>
      </w:r>
      <w:proofErr w:type="spellStart"/>
      <w:r w:rsidRPr="00007954">
        <w:rPr>
          <w:rFonts w:ascii="Times New Roman" w:hAnsi="Times New Roman"/>
          <w:sz w:val="20"/>
          <w:szCs w:val="20"/>
        </w:rPr>
        <w:t>Vidyattama</w:t>
      </w:r>
      <w:proofErr w:type="spellEnd"/>
      <w:r>
        <w:rPr>
          <w:rFonts w:ascii="Times New Roman" w:hAnsi="Times New Roman"/>
          <w:sz w:val="20"/>
          <w:szCs w:val="20"/>
        </w:rPr>
        <w:t xml:space="preserve"> Inequalities in Standards of Living: evidence for Improved Income Support for People with Disability” National Centre for Social and Economic Modelling” September 2019</w:t>
      </w:r>
    </w:p>
  </w:footnote>
  <w:footnote w:id="30">
    <w:p w14:paraId="3CA846AD" w14:textId="77777777" w:rsidR="00B950D8" w:rsidRPr="007A60D6" w:rsidRDefault="00B950D8" w:rsidP="00B950D8">
      <w:pPr>
        <w:pStyle w:val="FootnoteText"/>
        <w:rPr>
          <w:lang w:val="en-AU"/>
        </w:rPr>
      </w:pPr>
      <w:r>
        <w:rPr>
          <w:rStyle w:val="FootnoteReference"/>
        </w:rPr>
        <w:footnoteRef/>
      </w:r>
      <w:r>
        <w:t xml:space="preserve"> </w:t>
      </w:r>
      <w:r>
        <w:rPr>
          <w:lang w:val="en-AU"/>
        </w:rPr>
        <w:t>ibid</w:t>
      </w:r>
    </w:p>
  </w:footnote>
  <w:footnote w:id="31">
    <w:p w14:paraId="1EAC30CB" w14:textId="77777777" w:rsidR="00B950D8" w:rsidRPr="00384D5A" w:rsidRDefault="00B950D8" w:rsidP="00B950D8">
      <w:pPr>
        <w:pStyle w:val="FootnoteText"/>
        <w:rPr>
          <w:lang w:val="en-AU"/>
        </w:rPr>
      </w:pPr>
      <w:r>
        <w:rPr>
          <w:rStyle w:val="FootnoteReference"/>
        </w:rPr>
        <w:footnoteRef/>
      </w:r>
      <w:r>
        <w:t xml:space="preserve"> </w:t>
      </w:r>
      <w:proofErr w:type="spellStart"/>
      <w:r w:rsidRPr="00384D5A">
        <w:rPr>
          <w:rFonts w:ascii="Times New Roman" w:hAnsi="Times New Roman"/>
        </w:rPr>
        <w:t>Jinjing</w:t>
      </w:r>
      <w:proofErr w:type="spellEnd"/>
      <w:r w:rsidRPr="00384D5A">
        <w:rPr>
          <w:rFonts w:ascii="Times New Roman" w:hAnsi="Times New Roman"/>
        </w:rPr>
        <w:t xml:space="preserve"> Li, Hai Anh La, Laurie Brown, </w:t>
      </w:r>
      <w:proofErr w:type="spellStart"/>
      <w:r w:rsidRPr="00384D5A">
        <w:rPr>
          <w:rFonts w:ascii="Times New Roman" w:hAnsi="Times New Roman"/>
        </w:rPr>
        <w:t>Riyana</w:t>
      </w:r>
      <w:proofErr w:type="spellEnd"/>
      <w:r w:rsidRPr="00384D5A">
        <w:rPr>
          <w:rFonts w:ascii="Times New Roman" w:hAnsi="Times New Roman"/>
        </w:rPr>
        <w:t xml:space="preserve"> </w:t>
      </w:r>
      <w:proofErr w:type="spellStart"/>
      <w:r w:rsidRPr="00384D5A">
        <w:rPr>
          <w:rFonts w:ascii="Times New Roman" w:hAnsi="Times New Roman"/>
        </w:rPr>
        <w:t>Miranti</w:t>
      </w:r>
      <w:proofErr w:type="spellEnd"/>
      <w:r w:rsidRPr="00384D5A">
        <w:rPr>
          <w:rFonts w:ascii="Times New Roman" w:hAnsi="Times New Roman"/>
        </w:rPr>
        <w:t xml:space="preserve"> and Yogi </w:t>
      </w:r>
      <w:proofErr w:type="spellStart"/>
      <w:r w:rsidRPr="00384D5A">
        <w:rPr>
          <w:rFonts w:ascii="Times New Roman" w:hAnsi="Times New Roman"/>
        </w:rPr>
        <w:t>Vidyattama</w:t>
      </w:r>
      <w:proofErr w:type="spellEnd"/>
      <w:r w:rsidRPr="00384D5A">
        <w:rPr>
          <w:rFonts w:ascii="Times New Roman" w:hAnsi="Times New Roman"/>
        </w:rPr>
        <w:t xml:space="preserve"> Inequalities in Standards of Living: evidence for Improved Income Support for People with Disability” National Centre for Social and Economic Modelling” September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98F1D" w14:textId="77777777" w:rsidR="00942A9F" w:rsidRPr="00990CB1" w:rsidRDefault="00942A9F" w:rsidP="004D6D08">
    <w:pPr>
      <w:pStyle w:val="Heade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9B730" w14:textId="77777777" w:rsidR="00942A9F" w:rsidRDefault="00942A9F">
    <w:pPr>
      <w:pStyle w:val="Header"/>
    </w:pPr>
  </w:p>
  <w:p w14:paraId="7905AF2F" w14:textId="77777777" w:rsidR="00942A9F" w:rsidRDefault="00942A9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9340C"/>
    <w:multiLevelType w:val="multilevel"/>
    <w:tmpl w:val="F7ECAD3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6644A21"/>
    <w:multiLevelType w:val="hybridMultilevel"/>
    <w:tmpl w:val="F1EEDE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816C21"/>
    <w:multiLevelType w:val="hybridMultilevel"/>
    <w:tmpl w:val="C714EAD0"/>
    <w:lvl w:ilvl="0" w:tplc="E9502D2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68E6B22"/>
    <w:multiLevelType w:val="hybridMultilevel"/>
    <w:tmpl w:val="AC3E7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EA5A87"/>
    <w:multiLevelType w:val="hybridMultilevel"/>
    <w:tmpl w:val="53987D28"/>
    <w:lvl w:ilvl="0" w:tplc="F3409C10">
      <w:start w:val="1"/>
      <w:numFmt w:val="upperLetter"/>
      <w:pStyle w:val="Heading3"/>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08928AB"/>
    <w:multiLevelType w:val="hybridMultilevel"/>
    <w:tmpl w:val="D1F2C0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2BB7DAA"/>
    <w:multiLevelType w:val="hybridMultilevel"/>
    <w:tmpl w:val="7752FF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F5C634E"/>
    <w:multiLevelType w:val="hybridMultilevel"/>
    <w:tmpl w:val="F78661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8A31C55"/>
    <w:multiLevelType w:val="multilevel"/>
    <w:tmpl w:val="F7ECAD3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15:restartNumberingAfterBreak="0">
    <w:nsid w:val="64433577"/>
    <w:multiLevelType w:val="hybridMultilevel"/>
    <w:tmpl w:val="8A3CA3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7627133"/>
    <w:multiLevelType w:val="multilevel"/>
    <w:tmpl w:val="F7ECAD3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67D17D45"/>
    <w:multiLevelType w:val="multilevel"/>
    <w:tmpl w:val="1F44CA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BCB1A62"/>
    <w:multiLevelType w:val="multilevel"/>
    <w:tmpl w:val="899E0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3"/>
  </w:num>
  <w:num w:numId="2">
    <w:abstractNumId w:val="11"/>
  </w:num>
  <w:num w:numId="3">
    <w:abstractNumId w:val="12"/>
  </w:num>
  <w:num w:numId="4">
    <w:abstractNumId w:val="4"/>
  </w:num>
  <w:num w:numId="5">
    <w:abstractNumId w:val="4"/>
    <w:lvlOverride w:ilvl="0">
      <w:startOverride w:val="1"/>
    </w:lvlOverride>
  </w:num>
  <w:num w:numId="6">
    <w:abstractNumId w:val="0"/>
  </w:num>
  <w:num w:numId="7">
    <w:abstractNumId w:val="8"/>
  </w:num>
  <w:num w:numId="8">
    <w:abstractNumId w:val="10"/>
  </w:num>
  <w:num w:numId="9">
    <w:abstractNumId w:val="5"/>
  </w:num>
  <w:num w:numId="10">
    <w:abstractNumId w:val="9"/>
  </w:num>
  <w:num w:numId="11">
    <w:abstractNumId w:val="3"/>
  </w:num>
  <w:num w:numId="12">
    <w:abstractNumId w:val="6"/>
  </w:num>
  <w:num w:numId="13">
    <w:abstractNumId w:val="7"/>
  </w:num>
  <w:num w:numId="14">
    <w:abstractNumId w:val="2"/>
  </w:num>
  <w:num w:numId="1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77825">
      <o:colormru v:ext="edit" colors="#af168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W2MLM0MLcwMjMwNTFU0lEKTi0uzszPAykwNq4FAIi4i2wtAAAA"/>
  </w:docVars>
  <w:rsids>
    <w:rsidRoot w:val="00990CB1"/>
    <w:rsid w:val="00002CD0"/>
    <w:rsid w:val="0001024A"/>
    <w:rsid w:val="00016F40"/>
    <w:rsid w:val="0003483B"/>
    <w:rsid w:val="00035CC5"/>
    <w:rsid w:val="00037048"/>
    <w:rsid w:val="000413D5"/>
    <w:rsid w:val="0004409F"/>
    <w:rsid w:val="00045D81"/>
    <w:rsid w:val="000B6263"/>
    <w:rsid w:val="000D531D"/>
    <w:rsid w:val="000F0758"/>
    <w:rsid w:val="000F63C5"/>
    <w:rsid w:val="000F7E41"/>
    <w:rsid w:val="001068A9"/>
    <w:rsid w:val="00110A2F"/>
    <w:rsid w:val="001339BA"/>
    <w:rsid w:val="00135C72"/>
    <w:rsid w:val="00137FD6"/>
    <w:rsid w:val="001437BF"/>
    <w:rsid w:val="00160F24"/>
    <w:rsid w:val="00162198"/>
    <w:rsid w:val="00162A08"/>
    <w:rsid w:val="001D0459"/>
    <w:rsid w:val="001D3719"/>
    <w:rsid w:val="00217507"/>
    <w:rsid w:val="00221D50"/>
    <w:rsid w:val="00234C33"/>
    <w:rsid w:val="00234D0F"/>
    <w:rsid w:val="00237EFA"/>
    <w:rsid w:val="002675D2"/>
    <w:rsid w:val="002A07D0"/>
    <w:rsid w:val="002A789C"/>
    <w:rsid w:val="002B5378"/>
    <w:rsid w:val="002E1922"/>
    <w:rsid w:val="002E44C0"/>
    <w:rsid w:val="002E558B"/>
    <w:rsid w:val="002F0797"/>
    <w:rsid w:val="002F2235"/>
    <w:rsid w:val="00300B46"/>
    <w:rsid w:val="00304B05"/>
    <w:rsid w:val="00316E96"/>
    <w:rsid w:val="003354EC"/>
    <w:rsid w:val="003365FD"/>
    <w:rsid w:val="00336709"/>
    <w:rsid w:val="003615B6"/>
    <w:rsid w:val="0036167E"/>
    <w:rsid w:val="00362890"/>
    <w:rsid w:val="00362DD8"/>
    <w:rsid w:val="003641CE"/>
    <w:rsid w:val="00370AFA"/>
    <w:rsid w:val="0038046D"/>
    <w:rsid w:val="00386983"/>
    <w:rsid w:val="003A13C7"/>
    <w:rsid w:val="003A4D29"/>
    <w:rsid w:val="003A7845"/>
    <w:rsid w:val="003C0C89"/>
    <w:rsid w:val="003C5F51"/>
    <w:rsid w:val="003E7F6E"/>
    <w:rsid w:val="00424A0A"/>
    <w:rsid w:val="00431A90"/>
    <w:rsid w:val="00445F89"/>
    <w:rsid w:val="004512BE"/>
    <w:rsid w:val="00460436"/>
    <w:rsid w:val="00476254"/>
    <w:rsid w:val="004B2569"/>
    <w:rsid w:val="004B2DC1"/>
    <w:rsid w:val="004B3D3F"/>
    <w:rsid w:val="004B420D"/>
    <w:rsid w:val="004D6D08"/>
    <w:rsid w:val="00523362"/>
    <w:rsid w:val="0052531C"/>
    <w:rsid w:val="00572966"/>
    <w:rsid w:val="00592BFE"/>
    <w:rsid w:val="005A06DC"/>
    <w:rsid w:val="005B06C9"/>
    <w:rsid w:val="005C28F2"/>
    <w:rsid w:val="005D1E2A"/>
    <w:rsid w:val="005D43EF"/>
    <w:rsid w:val="005E1818"/>
    <w:rsid w:val="005E3D2C"/>
    <w:rsid w:val="005E5911"/>
    <w:rsid w:val="005F3E74"/>
    <w:rsid w:val="00607D1E"/>
    <w:rsid w:val="006259F7"/>
    <w:rsid w:val="00631B7B"/>
    <w:rsid w:val="0064578C"/>
    <w:rsid w:val="00651905"/>
    <w:rsid w:val="00683FF2"/>
    <w:rsid w:val="00684792"/>
    <w:rsid w:val="006926E4"/>
    <w:rsid w:val="0069363D"/>
    <w:rsid w:val="006B277B"/>
    <w:rsid w:val="006B7B0E"/>
    <w:rsid w:val="006D6D77"/>
    <w:rsid w:val="006F4CAC"/>
    <w:rsid w:val="00711789"/>
    <w:rsid w:val="00723C6F"/>
    <w:rsid w:val="007278E3"/>
    <w:rsid w:val="00741858"/>
    <w:rsid w:val="00760D64"/>
    <w:rsid w:val="0077394C"/>
    <w:rsid w:val="00794803"/>
    <w:rsid w:val="007A1CC9"/>
    <w:rsid w:val="007A44BB"/>
    <w:rsid w:val="007B00D1"/>
    <w:rsid w:val="008016F4"/>
    <w:rsid w:val="00802B27"/>
    <w:rsid w:val="00816F20"/>
    <w:rsid w:val="00825715"/>
    <w:rsid w:val="008278AF"/>
    <w:rsid w:val="0084053A"/>
    <w:rsid w:val="00856F3F"/>
    <w:rsid w:val="00865289"/>
    <w:rsid w:val="00881553"/>
    <w:rsid w:val="00896831"/>
    <w:rsid w:val="008A4AF0"/>
    <w:rsid w:val="008B0405"/>
    <w:rsid w:val="008B4E32"/>
    <w:rsid w:val="008B6B64"/>
    <w:rsid w:val="008C21BB"/>
    <w:rsid w:val="008C587D"/>
    <w:rsid w:val="008D73BD"/>
    <w:rsid w:val="008E4649"/>
    <w:rsid w:val="009336E5"/>
    <w:rsid w:val="00937B5E"/>
    <w:rsid w:val="00942A9F"/>
    <w:rsid w:val="00974A67"/>
    <w:rsid w:val="00987378"/>
    <w:rsid w:val="00987564"/>
    <w:rsid w:val="00990CB1"/>
    <w:rsid w:val="0099374D"/>
    <w:rsid w:val="00993D9C"/>
    <w:rsid w:val="00997FAA"/>
    <w:rsid w:val="009B0BD9"/>
    <w:rsid w:val="009D3427"/>
    <w:rsid w:val="009E28C7"/>
    <w:rsid w:val="009F1A6D"/>
    <w:rsid w:val="009F6A9C"/>
    <w:rsid w:val="00A066EA"/>
    <w:rsid w:val="00A1093C"/>
    <w:rsid w:val="00A16D64"/>
    <w:rsid w:val="00A17792"/>
    <w:rsid w:val="00A268C0"/>
    <w:rsid w:val="00A2736D"/>
    <w:rsid w:val="00A42210"/>
    <w:rsid w:val="00A66A22"/>
    <w:rsid w:val="00A67D1A"/>
    <w:rsid w:val="00A81922"/>
    <w:rsid w:val="00A846F6"/>
    <w:rsid w:val="00A909F3"/>
    <w:rsid w:val="00A94BD3"/>
    <w:rsid w:val="00AA0766"/>
    <w:rsid w:val="00AA59DD"/>
    <w:rsid w:val="00AB40EE"/>
    <w:rsid w:val="00AB521E"/>
    <w:rsid w:val="00AC5CA2"/>
    <w:rsid w:val="00AE312F"/>
    <w:rsid w:val="00AF5C51"/>
    <w:rsid w:val="00B0479B"/>
    <w:rsid w:val="00B42608"/>
    <w:rsid w:val="00B4673C"/>
    <w:rsid w:val="00B50355"/>
    <w:rsid w:val="00B70353"/>
    <w:rsid w:val="00B82E96"/>
    <w:rsid w:val="00B950D8"/>
    <w:rsid w:val="00BA1AF8"/>
    <w:rsid w:val="00BB224D"/>
    <w:rsid w:val="00BC50A9"/>
    <w:rsid w:val="00BD723F"/>
    <w:rsid w:val="00BF30C0"/>
    <w:rsid w:val="00BF650A"/>
    <w:rsid w:val="00C104F1"/>
    <w:rsid w:val="00C200DB"/>
    <w:rsid w:val="00C276D0"/>
    <w:rsid w:val="00C724D2"/>
    <w:rsid w:val="00C90CA2"/>
    <w:rsid w:val="00CC4314"/>
    <w:rsid w:val="00D1259C"/>
    <w:rsid w:val="00D17E19"/>
    <w:rsid w:val="00D2126D"/>
    <w:rsid w:val="00D21FC4"/>
    <w:rsid w:val="00D32DEB"/>
    <w:rsid w:val="00D4396B"/>
    <w:rsid w:val="00D52945"/>
    <w:rsid w:val="00D55730"/>
    <w:rsid w:val="00D62EB6"/>
    <w:rsid w:val="00D71E35"/>
    <w:rsid w:val="00D90348"/>
    <w:rsid w:val="00D968D1"/>
    <w:rsid w:val="00DB0601"/>
    <w:rsid w:val="00DB7565"/>
    <w:rsid w:val="00E00AF5"/>
    <w:rsid w:val="00E103AB"/>
    <w:rsid w:val="00E22000"/>
    <w:rsid w:val="00E37C2E"/>
    <w:rsid w:val="00E412A7"/>
    <w:rsid w:val="00E47779"/>
    <w:rsid w:val="00E658B5"/>
    <w:rsid w:val="00E94E8F"/>
    <w:rsid w:val="00E95952"/>
    <w:rsid w:val="00EA4FB9"/>
    <w:rsid w:val="00EA7BCC"/>
    <w:rsid w:val="00EB2276"/>
    <w:rsid w:val="00EC159E"/>
    <w:rsid w:val="00EC1E5C"/>
    <w:rsid w:val="00EE0521"/>
    <w:rsid w:val="00F12953"/>
    <w:rsid w:val="00F23C52"/>
    <w:rsid w:val="00F26DC5"/>
    <w:rsid w:val="00F54F37"/>
    <w:rsid w:val="00FA1850"/>
    <w:rsid w:val="00FA18C3"/>
    <w:rsid w:val="00FB63A7"/>
    <w:rsid w:val="00FD04E6"/>
    <w:rsid w:val="00FD3DC0"/>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colormru v:ext="edit" colors="#af1685"/>
    </o:shapedefaults>
    <o:shapelayout v:ext="edit">
      <o:idmap v:ext="edit" data="1"/>
    </o:shapelayout>
  </w:shapeDefaults>
  <w:decimalSymbol w:val="."/>
  <w:listSeparator w:val=","/>
  <w14:docId w14:val="5591B5F7"/>
  <w15:docId w15:val="{9F48D6DC-F2CC-4809-A3CE-6550DD8AC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905"/>
    <w:pPr>
      <w:spacing w:after="200" w:line="276" w:lineRule="auto"/>
    </w:pPr>
    <w:rPr>
      <w:rFonts w:ascii="Arial" w:hAnsi="Arial"/>
      <w:kern w:val="24"/>
      <w:sz w:val="24"/>
      <w:szCs w:val="24"/>
      <w:lang w:val="en-US" w:eastAsia="en-US"/>
    </w:rPr>
  </w:style>
  <w:style w:type="paragraph" w:styleId="Heading1">
    <w:name w:val="heading 1"/>
    <w:basedOn w:val="Normal"/>
    <w:next w:val="Normal"/>
    <w:link w:val="Heading1Char"/>
    <w:uiPriority w:val="9"/>
    <w:qFormat/>
    <w:rsid w:val="00B42608"/>
    <w:pPr>
      <w:keepNext/>
      <w:spacing w:before="240" w:after="60"/>
      <w:outlineLvl w:val="0"/>
    </w:pPr>
    <w:rPr>
      <w:rFonts w:eastAsia="Times New Roman"/>
      <w:b/>
      <w:bCs/>
      <w:color w:val="404040"/>
      <w:kern w:val="32"/>
      <w:sz w:val="72"/>
      <w:szCs w:val="32"/>
    </w:rPr>
  </w:style>
  <w:style w:type="paragraph" w:styleId="Heading2">
    <w:name w:val="heading 2"/>
    <w:next w:val="Normal"/>
    <w:link w:val="Heading2Char"/>
    <w:uiPriority w:val="9"/>
    <w:unhideWhenUsed/>
    <w:qFormat/>
    <w:rsid w:val="00592BFE"/>
    <w:pPr>
      <w:keepNext/>
      <w:pageBreakBefore/>
      <w:spacing w:after="240" w:line="276" w:lineRule="auto"/>
      <w:outlineLvl w:val="1"/>
    </w:pPr>
    <w:rPr>
      <w:rFonts w:ascii="Arial" w:eastAsia="Times New Roman" w:hAnsi="Arial"/>
      <w:b/>
      <w:bCs/>
      <w:color w:val="00767F"/>
      <w:kern w:val="28"/>
      <w:sz w:val="44"/>
      <w:szCs w:val="44"/>
      <w:lang w:eastAsia="en-US"/>
    </w:rPr>
  </w:style>
  <w:style w:type="paragraph" w:styleId="Heading3">
    <w:name w:val="heading 3"/>
    <w:next w:val="Normal"/>
    <w:link w:val="Heading3Char"/>
    <w:autoRedefine/>
    <w:uiPriority w:val="9"/>
    <w:unhideWhenUsed/>
    <w:qFormat/>
    <w:rsid w:val="00AA59DD"/>
    <w:pPr>
      <w:keepNext/>
      <w:keepLines/>
      <w:numPr>
        <w:numId w:val="4"/>
      </w:numPr>
      <w:spacing w:before="240" w:after="240"/>
      <w:outlineLvl w:val="2"/>
    </w:pPr>
    <w:rPr>
      <w:rFonts w:ascii="Arial" w:eastAsia="Times New Roman" w:hAnsi="Arial"/>
      <w:b/>
      <w:bCs/>
      <w:color w:val="000000" w:themeColor="text1"/>
      <w:sz w:val="28"/>
      <w:szCs w:val="32"/>
      <w:lang w:val="en" w:eastAsia="en-US"/>
    </w:rPr>
  </w:style>
  <w:style w:type="paragraph" w:styleId="Heading4">
    <w:name w:val="heading 4"/>
    <w:basedOn w:val="Normal"/>
    <w:next w:val="Normal"/>
    <w:link w:val="Heading4Char"/>
    <w:uiPriority w:val="9"/>
    <w:unhideWhenUsed/>
    <w:qFormat/>
    <w:rsid w:val="00AA59DD"/>
    <w:pPr>
      <w:keepNext/>
      <w:keepLines/>
      <w:spacing w:before="40" w:after="0"/>
      <w:outlineLvl w:val="3"/>
    </w:pPr>
    <w:rPr>
      <w:rFonts w:eastAsiaTheme="majorEastAsia" w:cstheme="majorBidi"/>
      <w:b/>
      <w:iCs/>
      <w:u w:val="single"/>
      <w:lang w:val="en"/>
    </w:rPr>
  </w:style>
  <w:style w:type="paragraph" w:styleId="Heading5">
    <w:name w:val="heading 5"/>
    <w:basedOn w:val="Normal"/>
    <w:next w:val="Normal"/>
    <w:link w:val="Heading5Char"/>
    <w:uiPriority w:val="9"/>
    <w:unhideWhenUsed/>
    <w:qFormat/>
    <w:rsid w:val="00D1259C"/>
    <w:pPr>
      <w:keepNext/>
      <w:keepLines/>
      <w:spacing w:before="220" w:after="40"/>
      <w:contextualSpacing/>
      <w:outlineLvl w:val="4"/>
    </w:pPr>
    <w:rPr>
      <w:rFonts w:eastAsia="Arial" w:cs="Arial"/>
      <w:b/>
      <w:kern w:val="0"/>
      <w:sz w:val="22"/>
      <w:szCs w:val="22"/>
      <w:lang w:val="en" w:eastAsia="zh-CN"/>
    </w:rPr>
  </w:style>
  <w:style w:type="paragraph" w:styleId="Heading6">
    <w:name w:val="heading 6"/>
    <w:basedOn w:val="Normal"/>
    <w:next w:val="Normal"/>
    <w:link w:val="Heading6Char"/>
    <w:uiPriority w:val="9"/>
    <w:semiHidden/>
    <w:unhideWhenUsed/>
    <w:qFormat/>
    <w:rsid w:val="00D1259C"/>
    <w:pPr>
      <w:keepNext/>
      <w:keepLines/>
      <w:spacing w:before="200" w:after="40"/>
      <w:contextualSpacing/>
      <w:outlineLvl w:val="5"/>
    </w:pPr>
    <w:rPr>
      <w:rFonts w:eastAsia="Arial" w:cs="Arial"/>
      <w:b/>
      <w:kern w:val="0"/>
      <w:sz w:val="20"/>
      <w:szCs w:val="20"/>
      <w:lang w:val="e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CB1"/>
    <w:pPr>
      <w:tabs>
        <w:tab w:val="center" w:pos="4320"/>
        <w:tab w:val="right" w:pos="8640"/>
      </w:tabs>
      <w:spacing w:after="0"/>
    </w:pPr>
  </w:style>
  <w:style w:type="character" w:customStyle="1" w:styleId="HeaderChar">
    <w:name w:val="Header Char"/>
    <w:basedOn w:val="DefaultParagraphFont"/>
    <w:link w:val="Header"/>
    <w:uiPriority w:val="99"/>
    <w:rsid w:val="00990CB1"/>
  </w:style>
  <w:style w:type="paragraph" w:styleId="Footer">
    <w:name w:val="footer"/>
    <w:basedOn w:val="Normal"/>
    <w:link w:val="FooterChar"/>
    <w:uiPriority w:val="99"/>
    <w:unhideWhenUsed/>
    <w:rsid w:val="00990CB1"/>
    <w:pPr>
      <w:tabs>
        <w:tab w:val="center" w:pos="4320"/>
        <w:tab w:val="right" w:pos="8640"/>
      </w:tabs>
      <w:spacing w:after="0"/>
    </w:pPr>
  </w:style>
  <w:style w:type="character" w:customStyle="1" w:styleId="FooterChar">
    <w:name w:val="Footer Char"/>
    <w:basedOn w:val="DefaultParagraphFont"/>
    <w:link w:val="Footer"/>
    <w:uiPriority w:val="99"/>
    <w:rsid w:val="00990CB1"/>
  </w:style>
  <w:style w:type="character" w:customStyle="1" w:styleId="Heading1Char">
    <w:name w:val="Heading 1 Char"/>
    <w:link w:val="Heading1"/>
    <w:uiPriority w:val="9"/>
    <w:rsid w:val="00B42608"/>
    <w:rPr>
      <w:rFonts w:ascii="Arial" w:eastAsia="Times New Roman" w:hAnsi="Arial"/>
      <w:b/>
      <w:bCs/>
      <w:color w:val="404040"/>
      <w:kern w:val="32"/>
      <w:sz w:val="72"/>
      <w:szCs w:val="32"/>
      <w:lang w:val="en-US" w:eastAsia="en-US"/>
    </w:rPr>
  </w:style>
  <w:style w:type="paragraph" w:styleId="Title">
    <w:name w:val="Title"/>
    <w:next w:val="Normal"/>
    <w:link w:val="TitleChar"/>
    <w:uiPriority w:val="10"/>
    <w:qFormat/>
    <w:rsid w:val="00B42608"/>
    <w:pPr>
      <w:spacing w:before="240" w:after="60"/>
      <w:outlineLvl w:val="0"/>
    </w:pPr>
    <w:rPr>
      <w:rFonts w:ascii="Arial" w:eastAsia="Times New Roman" w:hAnsi="Arial"/>
      <w:b/>
      <w:bCs/>
      <w:color w:val="404040"/>
      <w:kern w:val="28"/>
      <w:sz w:val="24"/>
      <w:szCs w:val="32"/>
      <w:lang w:val="en-US" w:eastAsia="en-US"/>
    </w:rPr>
  </w:style>
  <w:style w:type="character" w:customStyle="1" w:styleId="TitleChar">
    <w:name w:val="Title Char"/>
    <w:link w:val="Title"/>
    <w:uiPriority w:val="10"/>
    <w:rsid w:val="00B42608"/>
    <w:rPr>
      <w:rFonts w:ascii="Arial" w:eastAsia="Times New Roman" w:hAnsi="Arial"/>
      <w:b/>
      <w:bCs/>
      <w:color w:val="404040"/>
      <w:kern w:val="28"/>
      <w:sz w:val="24"/>
      <w:szCs w:val="32"/>
      <w:lang w:val="en-US" w:eastAsia="en-US"/>
    </w:rPr>
  </w:style>
  <w:style w:type="table" w:styleId="TableGrid">
    <w:name w:val="Table Grid"/>
    <w:basedOn w:val="TableNormal"/>
    <w:uiPriority w:val="39"/>
    <w:rsid w:val="00A9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qFormat/>
    <w:rsid w:val="00A909F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Subtitle">
    <w:name w:val="Subtitle"/>
    <w:basedOn w:val="Normal"/>
    <w:next w:val="Normal"/>
    <w:link w:val="SubtitleChar"/>
    <w:uiPriority w:val="11"/>
    <w:qFormat/>
    <w:rsid w:val="00A42210"/>
    <w:pPr>
      <w:spacing w:after="60"/>
      <w:outlineLvl w:val="1"/>
    </w:pPr>
    <w:rPr>
      <w:rFonts w:eastAsia="Times New Roman"/>
      <w:b/>
      <w:color w:val="262262"/>
      <w:sz w:val="22"/>
    </w:rPr>
  </w:style>
  <w:style w:type="character" w:customStyle="1" w:styleId="SubtitleChar">
    <w:name w:val="Subtitle Char"/>
    <w:link w:val="Subtitle"/>
    <w:uiPriority w:val="11"/>
    <w:rsid w:val="00A42210"/>
    <w:rPr>
      <w:rFonts w:ascii="Gill Sans MT" w:eastAsia="Times New Roman" w:hAnsi="Gill Sans MT" w:cs="Times New Roman"/>
      <w:b/>
      <w:color w:val="262262"/>
      <w:sz w:val="22"/>
      <w:szCs w:val="24"/>
      <w:lang w:val="en-US" w:eastAsia="en-US"/>
    </w:rPr>
  </w:style>
  <w:style w:type="character" w:customStyle="1" w:styleId="Heading2Char">
    <w:name w:val="Heading 2 Char"/>
    <w:link w:val="Heading2"/>
    <w:uiPriority w:val="9"/>
    <w:rsid w:val="00592BFE"/>
    <w:rPr>
      <w:rFonts w:ascii="Arial" w:eastAsia="Times New Roman" w:hAnsi="Arial"/>
      <w:b/>
      <w:bCs/>
      <w:color w:val="00767F"/>
      <w:kern w:val="28"/>
      <w:sz w:val="44"/>
      <w:szCs w:val="44"/>
      <w:lang w:eastAsia="en-US"/>
    </w:rPr>
  </w:style>
  <w:style w:type="character" w:customStyle="1" w:styleId="Heading3Char">
    <w:name w:val="Heading 3 Char"/>
    <w:link w:val="Heading3"/>
    <w:uiPriority w:val="9"/>
    <w:rsid w:val="00AA59DD"/>
    <w:rPr>
      <w:rFonts w:ascii="Arial" w:eastAsia="Times New Roman" w:hAnsi="Arial"/>
      <w:b/>
      <w:bCs/>
      <w:color w:val="000000" w:themeColor="text1"/>
      <w:sz w:val="28"/>
      <w:szCs w:val="32"/>
      <w:lang w:val="en" w:eastAsia="en-US"/>
    </w:rPr>
  </w:style>
  <w:style w:type="character" w:styleId="Hyperlink">
    <w:name w:val="Hyperlink"/>
    <w:uiPriority w:val="99"/>
    <w:unhideWhenUsed/>
    <w:rsid w:val="00D52945"/>
    <w:rPr>
      <w:color w:val="000000"/>
      <w:u w:val="single"/>
    </w:rPr>
  </w:style>
  <w:style w:type="paragraph" w:styleId="NormalWeb">
    <w:name w:val="Normal (Web)"/>
    <w:basedOn w:val="Normal"/>
    <w:uiPriority w:val="99"/>
    <w:semiHidden/>
    <w:unhideWhenUsed/>
    <w:rsid w:val="00D52945"/>
    <w:pPr>
      <w:spacing w:before="100" w:beforeAutospacing="1" w:after="100" w:afterAutospacing="1"/>
    </w:pPr>
    <w:rPr>
      <w:rFonts w:ascii="Times New Roman" w:eastAsia="Times New Roman" w:hAnsi="Times New Roman"/>
      <w:lang w:val="en-AU" w:eastAsia="en-AU"/>
    </w:rPr>
  </w:style>
  <w:style w:type="character" w:styleId="Strong">
    <w:name w:val="Strong"/>
    <w:uiPriority w:val="22"/>
    <w:qFormat/>
    <w:rsid w:val="004B420D"/>
    <w:rPr>
      <w:b/>
      <w:bCs/>
    </w:rPr>
  </w:style>
  <w:style w:type="character" w:styleId="Emphasis">
    <w:name w:val="Emphasis"/>
    <w:uiPriority w:val="20"/>
    <w:qFormat/>
    <w:rsid w:val="004B420D"/>
    <w:rPr>
      <w:rFonts w:ascii="Arial" w:hAnsi="Arial"/>
      <w:b/>
      <w:i w:val="0"/>
      <w:iCs/>
      <w:color w:val="00767F"/>
      <w:sz w:val="28"/>
    </w:rPr>
  </w:style>
  <w:style w:type="paragraph" w:styleId="BalloonText">
    <w:name w:val="Balloon Text"/>
    <w:basedOn w:val="Normal"/>
    <w:link w:val="BalloonTextChar"/>
    <w:uiPriority w:val="99"/>
    <w:semiHidden/>
    <w:unhideWhenUsed/>
    <w:rsid w:val="009F1A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A6D"/>
    <w:rPr>
      <w:rFonts w:ascii="Tahoma" w:hAnsi="Tahoma" w:cs="Tahoma"/>
      <w:sz w:val="16"/>
      <w:szCs w:val="16"/>
      <w:lang w:val="en-US" w:eastAsia="en-US"/>
    </w:rPr>
  </w:style>
  <w:style w:type="paragraph" w:styleId="ListParagraph">
    <w:name w:val="List Paragraph"/>
    <w:basedOn w:val="Normal"/>
    <w:uiPriority w:val="34"/>
    <w:qFormat/>
    <w:rsid w:val="00592BFE"/>
    <w:pPr>
      <w:spacing w:before="240" w:after="240"/>
      <w:ind w:left="720"/>
      <w:contextualSpacing/>
    </w:pPr>
    <w:rPr>
      <w:rFonts w:eastAsiaTheme="minorHAnsi" w:cstheme="minorBidi"/>
      <w:lang w:val="en-AU"/>
    </w:rPr>
  </w:style>
  <w:style w:type="character" w:styleId="CommentReference">
    <w:name w:val="annotation reference"/>
    <w:basedOn w:val="DefaultParagraphFont"/>
    <w:uiPriority w:val="99"/>
    <w:semiHidden/>
    <w:unhideWhenUsed/>
    <w:rsid w:val="008C21BB"/>
    <w:rPr>
      <w:sz w:val="18"/>
      <w:szCs w:val="18"/>
    </w:rPr>
  </w:style>
  <w:style w:type="paragraph" w:styleId="CommentText">
    <w:name w:val="annotation text"/>
    <w:basedOn w:val="Normal"/>
    <w:link w:val="CommentTextChar"/>
    <w:uiPriority w:val="99"/>
    <w:semiHidden/>
    <w:unhideWhenUsed/>
    <w:rsid w:val="008C21BB"/>
    <w:pPr>
      <w:spacing w:line="240" w:lineRule="auto"/>
    </w:pPr>
  </w:style>
  <w:style w:type="character" w:customStyle="1" w:styleId="CommentTextChar">
    <w:name w:val="Comment Text Char"/>
    <w:basedOn w:val="DefaultParagraphFont"/>
    <w:link w:val="CommentText"/>
    <w:uiPriority w:val="99"/>
    <w:semiHidden/>
    <w:rsid w:val="008C21BB"/>
    <w:rPr>
      <w:rFonts w:ascii="Arial" w:hAnsi="Arial"/>
      <w:kern w:val="24"/>
      <w:sz w:val="24"/>
      <w:szCs w:val="24"/>
      <w:lang w:val="en-US" w:eastAsia="en-US"/>
    </w:rPr>
  </w:style>
  <w:style w:type="paragraph" w:styleId="CommentSubject">
    <w:name w:val="annotation subject"/>
    <w:basedOn w:val="CommentText"/>
    <w:next w:val="CommentText"/>
    <w:link w:val="CommentSubjectChar"/>
    <w:uiPriority w:val="99"/>
    <w:semiHidden/>
    <w:unhideWhenUsed/>
    <w:rsid w:val="008C21BB"/>
    <w:rPr>
      <w:b/>
      <w:bCs/>
      <w:sz w:val="20"/>
      <w:szCs w:val="20"/>
    </w:rPr>
  </w:style>
  <w:style w:type="character" w:customStyle="1" w:styleId="CommentSubjectChar">
    <w:name w:val="Comment Subject Char"/>
    <w:basedOn w:val="CommentTextChar"/>
    <w:link w:val="CommentSubject"/>
    <w:uiPriority w:val="99"/>
    <w:semiHidden/>
    <w:rsid w:val="008C21BB"/>
    <w:rPr>
      <w:rFonts w:ascii="Arial" w:hAnsi="Arial"/>
      <w:b/>
      <w:bCs/>
      <w:kern w:val="24"/>
      <w:sz w:val="24"/>
      <w:szCs w:val="24"/>
      <w:lang w:val="en-US" w:eastAsia="en-US"/>
    </w:rPr>
  </w:style>
  <w:style w:type="paragraph" w:styleId="TOCHeading">
    <w:name w:val="TOC Heading"/>
    <w:basedOn w:val="Heading1"/>
    <w:next w:val="Normal"/>
    <w:uiPriority w:val="39"/>
    <w:unhideWhenUsed/>
    <w:qFormat/>
    <w:rsid w:val="00C90CA2"/>
    <w:pPr>
      <w:keepLines/>
      <w:spacing w:before="480" w:after="0"/>
      <w:outlineLvl w:val="9"/>
    </w:pPr>
    <w:rPr>
      <w:rFonts w:asciiTheme="majorHAnsi" w:eastAsiaTheme="majorEastAsia" w:hAnsiTheme="majorHAnsi" w:cstheme="majorBidi"/>
      <w:color w:val="2E74B5" w:themeColor="accent1" w:themeShade="BF"/>
      <w:kern w:val="0"/>
      <w:sz w:val="28"/>
      <w:szCs w:val="28"/>
      <w:lang w:eastAsia="ja-JP"/>
    </w:rPr>
  </w:style>
  <w:style w:type="paragraph" w:styleId="TOC1">
    <w:name w:val="toc 1"/>
    <w:basedOn w:val="Normal"/>
    <w:next w:val="Normal"/>
    <w:autoRedefine/>
    <w:uiPriority w:val="39"/>
    <w:unhideWhenUsed/>
    <w:rsid w:val="00C90CA2"/>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C90CA2"/>
    <w:pPr>
      <w:spacing w:after="0"/>
      <w:ind w:left="240"/>
    </w:pPr>
    <w:rPr>
      <w:rFonts w:asciiTheme="minorHAnsi" w:hAnsiTheme="minorHAnsi"/>
      <w:smallCaps/>
      <w:sz w:val="20"/>
      <w:szCs w:val="20"/>
    </w:rPr>
  </w:style>
  <w:style w:type="paragraph" w:styleId="TOC3">
    <w:name w:val="toc 3"/>
    <w:basedOn w:val="Normal"/>
    <w:next w:val="Normal"/>
    <w:autoRedefine/>
    <w:uiPriority w:val="39"/>
    <w:unhideWhenUsed/>
    <w:rsid w:val="00C90CA2"/>
    <w:pPr>
      <w:spacing w:after="0"/>
      <w:ind w:left="480"/>
    </w:pPr>
    <w:rPr>
      <w:rFonts w:asciiTheme="minorHAnsi" w:hAnsiTheme="minorHAnsi"/>
      <w:i/>
      <w:iCs/>
      <w:sz w:val="20"/>
      <w:szCs w:val="20"/>
    </w:rPr>
  </w:style>
  <w:style w:type="paragraph" w:customStyle="1" w:styleId="Rec">
    <w:name w:val="Rec"/>
    <w:basedOn w:val="BodyText"/>
    <w:qFormat/>
    <w:rsid w:val="00592BFE"/>
    <w:pPr>
      <w:keepLines/>
      <w:spacing w:before="120" w:after="0" w:line="280" w:lineRule="atLeast"/>
      <w:jc w:val="both"/>
    </w:pPr>
    <w:rPr>
      <w:rFonts w:eastAsia="Times New Roman"/>
      <w:kern w:val="0"/>
      <w:sz w:val="22"/>
      <w:szCs w:val="20"/>
      <w:lang w:val="en-AU" w:eastAsia="en-AU"/>
    </w:rPr>
  </w:style>
  <w:style w:type="paragraph" w:customStyle="1" w:styleId="RecBullet">
    <w:name w:val="Rec Bullet"/>
    <w:basedOn w:val="Rec"/>
    <w:rsid w:val="00592BFE"/>
    <w:pPr>
      <w:numPr>
        <w:numId w:val="1"/>
      </w:numPr>
      <w:tabs>
        <w:tab w:val="clear" w:pos="340"/>
        <w:tab w:val="num" w:pos="360"/>
      </w:tabs>
      <w:spacing w:before="80"/>
      <w:ind w:left="0" w:firstLine="0"/>
    </w:pPr>
  </w:style>
  <w:style w:type="paragraph" w:styleId="BodyText">
    <w:name w:val="Body Text"/>
    <w:basedOn w:val="Normal"/>
    <w:link w:val="BodyTextChar"/>
    <w:uiPriority w:val="99"/>
    <w:semiHidden/>
    <w:unhideWhenUsed/>
    <w:rsid w:val="00592BFE"/>
    <w:pPr>
      <w:spacing w:after="120"/>
    </w:pPr>
  </w:style>
  <w:style w:type="character" w:customStyle="1" w:styleId="BodyTextChar">
    <w:name w:val="Body Text Char"/>
    <w:basedOn w:val="DefaultParagraphFont"/>
    <w:link w:val="BodyText"/>
    <w:uiPriority w:val="99"/>
    <w:semiHidden/>
    <w:rsid w:val="00592BFE"/>
    <w:rPr>
      <w:rFonts w:ascii="Arial" w:hAnsi="Arial"/>
      <w:kern w:val="24"/>
      <w:sz w:val="24"/>
      <w:szCs w:val="24"/>
      <w:lang w:val="en-US" w:eastAsia="en-US"/>
    </w:rPr>
  </w:style>
  <w:style w:type="paragraph" w:styleId="DocumentMap">
    <w:name w:val="Document Map"/>
    <w:basedOn w:val="Normal"/>
    <w:link w:val="DocumentMapChar"/>
    <w:uiPriority w:val="99"/>
    <w:semiHidden/>
    <w:unhideWhenUsed/>
    <w:rsid w:val="00EC159E"/>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EC159E"/>
    <w:rPr>
      <w:rFonts w:ascii="Lucida Grande" w:hAnsi="Lucida Grande" w:cs="Lucida Grande"/>
      <w:kern w:val="24"/>
      <w:sz w:val="24"/>
      <w:szCs w:val="24"/>
      <w:lang w:val="en-US" w:eastAsia="en-US"/>
    </w:rPr>
  </w:style>
  <w:style w:type="paragraph" w:styleId="TOC4">
    <w:name w:val="toc 4"/>
    <w:basedOn w:val="Normal"/>
    <w:next w:val="Normal"/>
    <w:autoRedefine/>
    <w:uiPriority w:val="39"/>
    <w:unhideWhenUsed/>
    <w:rsid w:val="00370AFA"/>
    <w:pPr>
      <w:spacing w:after="0"/>
      <w:ind w:left="720"/>
    </w:pPr>
    <w:rPr>
      <w:rFonts w:asciiTheme="minorHAnsi" w:hAnsiTheme="minorHAnsi"/>
      <w:sz w:val="18"/>
      <w:szCs w:val="18"/>
    </w:rPr>
  </w:style>
  <w:style w:type="paragraph" w:styleId="TOC5">
    <w:name w:val="toc 5"/>
    <w:basedOn w:val="Normal"/>
    <w:next w:val="Normal"/>
    <w:autoRedefine/>
    <w:uiPriority w:val="39"/>
    <w:unhideWhenUsed/>
    <w:rsid w:val="00370AFA"/>
    <w:pPr>
      <w:spacing w:after="0"/>
      <w:ind w:left="960"/>
    </w:pPr>
    <w:rPr>
      <w:rFonts w:asciiTheme="minorHAnsi" w:hAnsiTheme="minorHAnsi"/>
      <w:sz w:val="18"/>
      <w:szCs w:val="18"/>
    </w:rPr>
  </w:style>
  <w:style w:type="paragraph" w:styleId="TOC6">
    <w:name w:val="toc 6"/>
    <w:basedOn w:val="Normal"/>
    <w:next w:val="Normal"/>
    <w:autoRedefine/>
    <w:uiPriority w:val="39"/>
    <w:unhideWhenUsed/>
    <w:rsid w:val="00370AFA"/>
    <w:pPr>
      <w:spacing w:after="0"/>
      <w:ind w:left="1200"/>
    </w:pPr>
    <w:rPr>
      <w:rFonts w:asciiTheme="minorHAnsi" w:hAnsiTheme="minorHAnsi"/>
      <w:sz w:val="18"/>
      <w:szCs w:val="18"/>
    </w:rPr>
  </w:style>
  <w:style w:type="paragraph" w:styleId="TOC7">
    <w:name w:val="toc 7"/>
    <w:basedOn w:val="Normal"/>
    <w:next w:val="Normal"/>
    <w:autoRedefine/>
    <w:uiPriority w:val="39"/>
    <w:unhideWhenUsed/>
    <w:rsid w:val="00370AFA"/>
    <w:pPr>
      <w:spacing w:after="0"/>
      <w:ind w:left="1440"/>
    </w:pPr>
    <w:rPr>
      <w:rFonts w:asciiTheme="minorHAnsi" w:hAnsiTheme="minorHAnsi"/>
      <w:sz w:val="18"/>
      <w:szCs w:val="18"/>
    </w:rPr>
  </w:style>
  <w:style w:type="paragraph" w:styleId="TOC8">
    <w:name w:val="toc 8"/>
    <w:basedOn w:val="Normal"/>
    <w:next w:val="Normal"/>
    <w:autoRedefine/>
    <w:uiPriority w:val="39"/>
    <w:unhideWhenUsed/>
    <w:rsid w:val="00370AFA"/>
    <w:pPr>
      <w:spacing w:after="0"/>
      <w:ind w:left="1680"/>
    </w:pPr>
    <w:rPr>
      <w:rFonts w:asciiTheme="minorHAnsi" w:hAnsiTheme="minorHAnsi"/>
      <w:sz w:val="18"/>
      <w:szCs w:val="18"/>
    </w:rPr>
  </w:style>
  <w:style w:type="paragraph" w:styleId="TOC9">
    <w:name w:val="toc 9"/>
    <w:basedOn w:val="Normal"/>
    <w:next w:val="Normal"/>
    <w:autoRedefine/>
    <w:uiPriority w:val="39"/>
    <w:unhideWhenUsed/>
    <w:rsid w:val="00370AFA"/>
    <w:pPr>
      <w:spacing w:after="0"/>
      <w:ind w:left="1920"/>
    </w:pPr>
    <w:rPr>
      <w:rFonts w:asciiTheme="minorHAnsi" w:hAnsiTheme="minorHAnsi"/>
      <w:sz w:val="18"/>
      <w:szCs w:val="18"/>
    </w:rPr>
  </w:style>
  <w:style w:type="character" w:styleId="FollowedHyperlink">
    <w:name w:val="FollowedHyperlink"/>
    <w:basedOn w:val="DefaultParagraphFont"/>
    <w:uiPriority w:val="99"/>
    <w:semiHidden/>
    <w:unhideWhenUsed/>
    <w:rsid w:val="003E7F6E"/>
    <w:rPr>
      <w:color w:val="954F72" w:themeColor="followedHyperlink"/>
      <w:u w:val="single"/>
    </w:rPr>
  </w:style>
  <w:style w:type="character" w:customStyle="1" w:styleId="Heading4Char">
    <w:name w:val="Heading 4 Char"/>
    <w:basedOn w:val="DefaultParagraphFont"/>
    <w:link w:val="Heading4"/>
    <w:uiPriority w:val="9"/>
    <w:rsid w:val="00AA59DD"/>
    <w:rPr>
      <w:rFonts w:ascii="Arial" w:eastAsiaTheme="majorEastAsia" w:hAnsi="Arial" w:cstheme="majorBidi"/>
      <w:b/>
      <w:iCs/>
      <w:kern w:val="24"/>
      <w:sz w:val="24"/>
      <w:szCs w:val="24"/>
      <w:u w:val="single"/>
      <w:lang w:val="en" w:eastAsia="en-US"/>
    </w:rPr>
  </w:style>
  <w:style w:type="character" w:customStyle="1" w:styleId="Heading5Char">
    <w:name w:val="Heading 5 Char"/>
    <w:basedOn w:val="DefaultParagraphFont"/>
    <w:link w:val="Heading5"/>
    <w:uiPriority w:val="9"/>
    <w:rsid w:val="00D1259C"/>
    <w:rPr>
      <w:rFonts w:ascii="Arial" w:eastAsia="Arial" w:hAnsi="Arial" w:cs="Arial"/>
      <w:b/>
      <w:sz w:val="22"/>
      <w:szCs w:val="22"/>
      <w:lang w:val="en" w:eastAsia="zh-CN"/>
    </w:rPr>
  </w:style>
  <w:style w:type="character" w:customStyle="1" w:styleId="Heading6Char">
    <w:name w:val="Heading 6 Char"/>
    <w:basedOn w:val="DefaultParagraphFont"/>
    <w:link w:val="Heading6"/>
    <w:uiPriority w:val="9"/>
    <w:semiHidden/>
    <w:rsid w:val="00D1259C"/>
    <w:rPr>
      <w:rFonts w:ascii="Arial" w:eastAsia="Arial" w:hAnsi="Arial" w:cs="Arial"/>
      <w:b/>
      <w:lang w:val="en" w:eastAsia="zh-CN"/>
    </w:rPr>
  </w:style>
  <w:style w:type="paragraph" w:styleId="Revision">
    <w:name w:val="Revision"/>
    <w:hidden/>
    <w:uiPriority w:val="99"/>
    <w:rsid w:val="00D1259C"/>
    <w:rPr>
      <w:rFonts w:ascii="Arial" w:eastAsia="Arial" w:hAnsi="Arial" w:cs="Arial"/>
      <w:sz w:val="22"/>
      <w:szCs w:val="22"/>
      <w:lang w:val="en" w:eastAsia="zh-CN"/>
    </w:rPr>
  </w:style>
  <w:style w:type="character" w:customStyle="1" w:styleId="JanineLow">
    <w:name w:val="Janine Low"/>
    <w:semiHidden/>
    <w:rsid w:val="00D1259C"/>
    <w:rPr>
      <w:rFonts w:ascii="Georgia" w:hAnsi="Georgia"/>
      <w:b w:val="0"/>
      <w:bCs w:val="0"/>
      <w:i w:val="0"/>
      <w:iCs w:val="0"/>
      <w:strike w:val="0"/>
      <w:color w:val="auto"/>
      <w:sz w:val="24"/>
      <w:szCs w:val="24"/>
      <w:u w:val="none"/>
    </w:rPr>
  </w:style>
  <w:style w:type="table" w:customStyle="1" w:styleId="TableGrid1">
    <w:name w:val="Table Grid1"/>
    <w:basedOn w:val="TableNormal"/>
    <w:next w:val="TableGrid"/>
    <w:uiPriority w:val="39"/>
    <w:rsid w:val="00D1259C"/>
    <w:rPr>
      <w:rFonts w:ascii="Calibri" w:eastAsia="DengXian" w:hAnsi="Calibri" w:cs="Arial"/>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B224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224D"/>
    <w:rPr>
      <w:rFonts w:ascii="Arial" w:hAnsi="Arial"/>
      <w:kern w:val="24"/>
      <w:lang w:val="en-US" w:eastAsia="en-US"/>
    </w:rPr>
  </w:style>
  <w:style w:type="paragraph" w:styleId="FootnoteText">
    <w:name w:val="footnote text"/>
    <w:basedOn w:val="Normal"/>
    <w:link w:val="FootnoteTextChar"/>
    <w:uiPriority w:val="99"/>
    <w:semiHidden/>
    <w:unhideWhenUsed/>
    <w:rsid w:val="00BB22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224D"/>
    <w:rPr>
      <w:rFonts w:ascii="Arial" w:hAnsi="Arial"/>
      <w:kern w:val="24"/>
      <w:lang w:val="en-US" w:eastAsia="en-US"/>
    </w:rPr>
  </w:style>
  <w:style w:type="character" w:styleId="EndnoteReference">
    <w:name w:val="endnote reference"/>
    <w:basedOn w:val="DefaultParagraphFont"/>
    <w:uiPriority w:val="99"/>
    <w:semiHidden/>
    <w:unhideWhenUsed/>
    <w:rsid w:val="00BB224D"/>
    <w:rPr>
      <w:vertAlign w:val="superscript"/>
    </w:rPr>
  </w:style>
  <w:style w:type="character" w:styleId="FootnoteReference">
    <w:name w:val="footnote reference"/>
    <w:basedOn w:val="DefaultParagraphFont"/>
    <w:uiPriority w:val="99"/>
    <w:semiHidden/>
    <w:unhideWhenUsed/>
    <w:rsid w:val="00BB22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3872">
      <w:bodyDiv w:val="1"/>
      <w:marLeft w:val="0"/>
      <w:marRight w:val="0"/>
      <w:marTop w:val="0"/>
      <w:marBottom w:val="0"/>
      <w:divBdr>
        <w:top w:val="none" w:sz="0" w:space="0" w:color="auto"/>
        <w:left w:val="none" w:sz="0" w:space="0" w:color="auto"/>
        <w:bottom w:val="none" w:sz="0" w:space="0" w:color="auto"/>
        <w:right w:val="none" w:sz="0" w:space="0" w:color="auto"/>
      </w:divBdr>
    </w:div>
    <w:div w:id="324208979">
      <w:bodyDiv w:val="1"/>
      <w:marLeft w:val="0"/>
      <w:marRight w:val="0"/>
      <w:marTop w:val="0"/>
      <w:marBottom w:val="0"/>
      <w:divBdr>
        <w:top w:val="none" w:sz="0" w:space="0" w:color="auto"/>
        <w:left w:val="none" w:sz="0" w:space="0" w:color="auto"/>
        <w:bottom w:val="none" w:sz="0" w:space="0" w:color="auto"/>
        <w:right w:val="none" w:sz="0" w:space="0" w:color="auto"/>
      </w:divBdr>
    </w:div>
    <w:div w:id="403063850">
      <w:bodyDiv w:val="1"/>
      <w:marLeft w:val="0"/>
      <w:marRight w:val="0"/>
      <w:marTop w:val="0"/>
      <w:marBottom w:val="0"/>
      <w:divBdr>
        <w:top w:val="none" w:sz="0" w:space="0" w:color="auto"/>
        <w:left w:val="none" w:sz="0" w:space="0" w:color="auto"/>
        <w:bottom w:val="none" w:sz="0" w:space="0" w:color="auto"/>
        <w:right w:val="none" w:sz="0" w:space="0" w:color="auto"/>
      </w:divBdr>
    </w:div>
    <w:div w:id="547646686">
      <w:bodyDiv w:val="1"/>
      <w:marLeft w:val="0"/>
      <w:marRight w:val="0"/>
      <w:marTop w:val="0"/>
      <w:marBottom w:val="0"/>
      <w:divBdr>
        <w:top w:val="none" w:sz="0" w:space="0" w:color="auto"/>
        <w:left w:val="none" w:sz="0" w:space="0" w:color="auto"/>
        <w:bottom w:val="none" w:sz="0" w:space="0" w:color="auto"/>
        <w:right w:val="none" w:sz="0" w:space="0" w:color="auto"/>
      </w:divBdr>
    </w:div>
    <w:div w:id="831793704">
      <w:bodyDiv w:val="1"/>
      <w:marLeft w:val="0"/>
      <w:marRight w:val="0"/>
      <w:marTop w:val="0"/>
      <w:marBottom w:val="0"/>
      <w:divBdr>
        <w:top w:val="none" w:sz="0" w:space="0" w:color="auto"/>
        <w:left w:val="none" w:sz="0" w:space="0" w:color="auto"/>
        <w:bottom w:val="none" w:sz="0" w:space="0" w:color="auto"/>
        <w:right w:val="none" w:sz="0" w:space="0" w:color="auto"/>
      </w:divBdr>
    </w:div>
    <w:div w:id="888881437">
      <w:bodyDiv w:val="1"/>
      <w:marLeft w:val="0"/>
      <w:marRight w:val="0"/>
      <w:marTop w:val="0"/>
      <w:marBottom w:val="0"/>
      <w:divBdr>
        <w:top w:val="none" w:sz="0" w:space="0" w:color="auto"/>
        <w:left w:val="none" w:sz="0" w:space="0" w:color="auto"/>
        <w:bottom w:val="none" w:sz="0" w:space="0" w:color="auto"/>
        <w:right w:val="none" w:sz="0" w:space="0" w:color="auto"/>
      </w:divBdr>
    </w:div>
    <w:div w:id="894509950">
      <w:bodyDiv w:val="1"/>
      <w:marLeft w:val="0"/>
      <w:marRight w:val="0"/>
      <w:marTop w:val="0"/>
      <w:marBottom w:val="0"/>
      <w:divBdr>
        <w:top w:val="none" w:sz="0" w:space="0" w:color="auto"/>
        <w:left w:val="none" w:sz="0" w:space="0" w:color="auto"/>
        <w:bottom w:val="none" w:sz="0" w:space="0" w:color="auto"/>
        <w:right w:val="none" w:sz="0" w:space="0" w:color="auto"/>
      </w:divBdr>
    </w:div>
    <w:div w:id="913012566">
      <w:bodyDiv w:val="1"/>
      <w:marLeft w:val="0"/>
      <w:marRight w:val="0"/>
      <w:marTop w:val="0"/>
      <w:marBottom w:val="0"/>
      <w:divBdr>
        <w:top w:val="none" w:sz="0" w:space="0" w:color="auto"/>
        <w:left w:val="none" w:sz="0" w:space="0" w:color="auto"/>
        <w:bottom w:val="none" w:sz="0" w:space="0" w:color="auto"/>
        <w:right w:val="none" w:sz="0" w:space="0" w:color="auto"/>
      </w:divBdr>
    </w:div>
    <w:div w:id="926422151">
      <w:bodyDiv w:val="1"/>
      <w:marLeft w:val="0"/>
      <w:marRight w:val="0"/>
      <w:marTop w:val="0"/>
      <w:marBottom w:val="0"/>
      <w:divBdr>
        <w:top w:val="none" w:sz="0" w:space="0" w:color="auto"/>
        <w:left w:val="none" w:sz="0" w:space="0" w:color="auto"/>
        <w:bottom w:val="none" w:sz="0" w:space="0" w:color="auto"/>
        <w:right w:val="none" w:sz="0" w:space="0" w:color="auto"/>
      </w:divBdr>
    </w:div>
    <w:div w:id="1328896690">
      <w:bodyDiv w:val="1"/>
      <w:marLeft w:val="0"/>
      <w:marRight w:val="0"/>
      <w:marTop w:val="0"/>
      <w:marBottom w:val="0"/>
      <w:divBdr>
        <w:top w:val="none" w:sz="0" w:space="0" w:color="auto"/>
        <w:left w:val="none" w:sz="0" w:space="0" w:color="auto"/>
        <w:bottom w:val="none" w:sz="0" w:space="0" w:color="auto"/>
        <w:right w:val="none" w:sz="0" w:space="0" w:color="auto"/>
      </w:divBdr>
    </w:div>
    <w:div w:id="1351103631">
      <w:bodyDiv w:val="1"/>
      <w:marLeft w:val="0"/>
      <w:marRight w:val="0"/>
      <w:marTop w:val="0"/>
      <w:marBottom w:val="0"/>
      <w:divBdr>
        <w:top w:val="none" w:sz="0" w:space="0" w:color="auto"/>
        <w:left w:val="none" w:sz="0" w:space="0" w:color="auto"/>
        <w:bottom w:val="none" w:sz="0" w:space="0" w:color="auto"/>
        <w:right w:val="none" w:sz="0" w:space="0" w:color="auto"/>
      </w:divBdr>
    </w:div>
    <w:div w:id="1612586802">
      <w:bodyDiv w:val="1"/>
      <w:marLeft w:val="0"/>
      <w:marRight w:val="0"/>
      <w:marTop w:val="0"/>
      <w:marBottom w:val="0"/>
      <w:divBdr>
        <w:top w:val="none" w:sz="0" w:space="0" w:color="auto"/>
        <w:left w:val="none" w:sz="0" w:space="0" w:color="auto"/>
        <w:bottom w:val="none" w:sz="0" w:space="0" w:color="auto"/>
        <w:right w:val="none" w:sz="0" w:space="0" w:color="auto"/>
      </w:divBdr>
    </w:div>
    <w:div w:id="2000576473">
      <w:bodyDiv w:val="1"/>
      <w:marLeft w:val="0"/>
      <w:marRight w:val="0"/>
      <w:marTop w:val="0"/>
      <w:marBottom w:val="0"/>
      <w:divBdr>
        <w:top w:val="none" w:sz="0" w:space="0" w:color="auto"/>
        <w:left w:val="none" w:sz="0" w:space="0" w:color="auto"/>
        <w:bottom w:val="none" w:sz="0" w:space="0" w:color="auto"/>
        <w:right w:val="none" w:sz="0" w:space="0" w:color="auto"/>
      </w:divBdr>
    </w:div>
    <w:div w:id="20735823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7FABA-D2F2-4EC7-892B-782C52D09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3971</Words>
  <Characters>21943</Characters>
  <Application>Microsoft Office Word</Application>
  <DocSecurity>0</DocSecurity>
  <Lines>1154</Lines>
  <Paragraphs>1126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Australian Federation of Disability Organisations</dc:creator>
  <cp:lastModifiedBy>Premier.Tech</cp:lastModifiedBy>
  <cp:revision>3</cp:revision>
  <dcterms:created xsi:type="dcterms:W3CDTF">2019-10-12T20:02:00Z</dcterms:created>
  <dcterms:modified xsi:type="dcterms:W3CDTF">2019-10-12T20:04:00Z</dcterms:modified>
</cp:coreProperties>
</file>