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EBE" w:rsidRPr="00A80D1C" w:rsidRDefault="000A17AA" w:rsidP="00A80D1C">
      <w:pPr>
        <w:pStyle w:val="Heading1"/>
        <w:jc w:val="center"/>
      </w:pPr>
      <w:bookmarkStart w:id="0" w:name="_GoBack"/>
      <w:bookmarkEnd w:id="0"/>
      <w:r>
        <w:t xml:space="preserve">Understanding NDIS </w:t>
      </w:r>
      <w:r w:rsidR="00F1405E" w:rsidRPr="00A80D1C">
        <w:t>P</w:t>
      </w:r>
      <w:r w:rsidR="001179AA" w:rsidRPr="00A80D1C">
        <w:t>ricing</w:t>
      </w:r>
    </w:p>
    <w:p w:rsidR="001179AA" w:rsidRPr="00A80D1C" w:rsidRDefault="001179AA" w:rsidP="00A80D1C">
      <w:pPr>
        <w:rPr>
          <w:rFonts w:ascii="Calibri" w:hAnsi="Calibri"/>
          <w:sz w:val="24"/>
        </w:rPr>
      </w:pPr>
    </w:p>
    <w:p w:rsidR="005F5A90" w:rsidRPr="00A80D1C" w:rsidRDefault="005F5A90" w:rsidP="00A80D1C">
      <w:pPr>
        <w:rPr>
          <w:rFonts w:ascii="Calibri" w:hAnsi="Calibri"/>
          <w:sz w:val="24"/>
        </w:rPr>
      </w:pPr>
      <w:r w:rsidRPr="00A80D1C">
        <w:rPr>
          <w:rFonts w:ascii="Calibri" w:hAnsi="Calibri"/>
          <w:sz w:val="24"/>
        </w:rPr>
        <w:t xml:space="preserve">If you are self-managing or just wanting a better understanding </w:t>
      </w:r>
      <w:r w:rsidR="009962AA" w:rsidRPr="00A80D1C">
        <w:rPr>
          <w:rFonts w:ascii="Calibri" w:hAnsi="Calibri"/>
          <w:sz w:val="24"/>
        </w:rPr>
        <w:t xml:space="preserve">of your </w:t>
      </w:r>
      <w:r w:rsidRPr="00A80D1C">
        <w:rPr>
          <w:rFonts w:ascii="Calibri" w:hAnsi="Calibri"/>
          <w:sz w:val="24"/>
        </w:rPr>
        <w:t>documents that</w:t>
      </w:r>
      <w:r w:rsidR="008A62BD">
        <w:rPr>
          <w:rFonts w:ascii="Calibri" w:hAnsi="Calibri"/>
          <w:sz w:val="24"/>
        </w:rPr>
        <w:t xml:space="preserve"> apply to buying supports</w:t>
      </w:r>
      <w:r w:rsidRPr="00A80D1C">
        <w:rPr>
          <w:rFonts w:ascii="Calibri" w:hAnsi="Calibri"/>
          <w:sz w:val="24"/>
        </w:rPr>
        <w:t xml:space="preserve">, such as quotes and invoices, then there are a number of things </w:t>
      </w:r>
      <w:r w:rsidR="008A62BD" w:rsidRPr="00A80D1C">
        <w:rPr>
          <w:rFonts w:ascii="Calibri" w:hAnsi="Calibri"/>
          <w:sz w:val="24"/>
        </w:rPr>
        <w:t xml:space="preserve">that relate to pricing </w:t>
      </w:r>
      <w:r w:rsidRPr="00A80D1C">
        <w:rPr>
          <w:rFonts w:ascii="Calibri" w:hAnsi="Calibri"/>
          <w:sz w:val="24"/>
        </w:rPr>
        <w:t>to keep in mind.</w:t>
      </w:r>
    </w:p>
    <w:p w:rsidR="005F5A90" w:rsidRPr="00A80D1C" w:rsidRDefault="005F5A90" w:rsidP="00A80D1C">
      <w:pPr>
        <w:rPr>
          <w:rFonts w:ascii="Calibri" w:hAnsi="Calibri"/>
          <w:sz w:val="24"/>
        </w:rPr>
      </w:pPr>
    </w:p>
    <w:p w:rsidR="005B459D" w:rsidRDefault="001179AA" w:rsidP="00A80D1C">
      <w:pPr>
        <w:rPr>
          <w:rFonts w:ascii="Calibri" w:hAnsi="Calibri"/>
          <w:sz w:val="24"/>
        </w:rPr>
      </w:pPr>
      <w:r w:rsidRPr="00A80D1C">
        <w:rPr>
          <w:rFonts w:ascii="Calibri" w:hAnsi="Calibri"/>
          <w:sz w:val="24"/>
        </w:rPr>
        <w:t xml:space="preserve">There are two </w:t>
      </w:r>
      <w:r w:rsidR="003E58CE" w:rsidRPr="00A80D1C">
        <w:rPr>
          <w:rFonts w:ascii="Calibri" w:hAnsi="Calibri"/>
          <w:sz w:val="24"/>
        </w:rPr>
        <w:t xml:space="preserve">NDIS </w:t>
      </w:r>
      <w:r w:rsidRPr="00A80D1C">
        <w:rPr>
          <w:rFonts w:ascii="Calibri" w:hAnsi="Calibri"/>
          <w:sz w:val="24"/>
        </w:rPr>
        <w:t xml:space="preserve">documents that are important: </w:t>
      </w:r>
      <w:r w:rsidR="003E58CE" w:rsidRPr="00A80D1C">
        <w:rPr>
          <w:rFonts w:ascii="Calibri" w:hAnsi="Calibri"/>
          <w:sz w:val="24"/>
        </w:rPr>
        <w:t xml:space="preserve">the </w:t>
      </w:r>
      <w:r w:rsidRPr="00A80D1C">
        <w:rPr>
          <w:rFonts w:ascii="Calibri" w:hAnsi="Calibri"/>
          <w:sz w:val="24"/>
        </w:rPr>
        <w:t xml:space="preserve">Price </w:t>
      </w:r>
      <w:r w:rsidR="003E58CE" w:rsidRPr="00A80D1C">
        <w:rPr>
          <w:rFonts w:ascii="Calibri" w:hAnsi="Calibri"/>
          <w:sz w:val="24"/>
        </w:rPr>
        <w:t>G</w:t>
      </w:r>
      <w:r w:rsidRPr="00A80D1C">
        <w:rPr>
          <w:rFonts w:ascii="Calibri" w:hAnsi="Calibri"/>
          <w:sz w:val="24"/>
        </w:rPr>
        <w:t xml:space="preserve">uide and </w:t>
      </w:r>
      <w:r w:rsidR="003E58CE" w:rsidRPr="00A80D1C">
        <w:rPr>
          <w:rFonts w:ascii="Calibri" w:hAnsi="Calibri"/>
          <w:sz w:val="24"/>
        </w:rPr>
        <w:t xml:space="preserve">the </w:t>
      </w:r>
      <w:r w:rsidR="0046062B" w:rsidRPr="00A80D1C">
        <w:rPr>
          <w:rFonts w:ascii="Calibri" w:hAnsi="Calibri"/>
          <w:sz w:val="24"/>
        </w:rPr>
        <w:t>S</w:t>
      </w:r>
      <w:r w:rsidRPr="00A80D1C">
        <w:rPr>
          <w:rFonts w:ascii="Calibri" w:hAnsi="Calibri"/>
          <w:sz w:val="24"/>
        </w:rPr>
        <w:t xml:space="preserve">upport </w:t>
      </w:r>
      <w:r w:rsidR="0046062B" w:rsidRPr="00A80D1C">
        <w:rPr>
          <w:rFonts w:ascii="Calibri" w:hAnsi="Calibri"/>
          <w:sz w:val="24"/>
        </w:rPr>
        <w:t>C</w:t>
      </w:r>
      <w:r w:rsidRPr="00A80D1C">
        <w:rPr>
          <w:rFonts w:ascii="Calibri" w:hAnsi="Calibri"/>
          <w:sz w:val="24"/>
        </w:rPr>
        <w:t>atalogue.</w:t>
      </w:r>
      <w:r w:rsidR="00474016" w:rsidRPr="00A80D1C">
        <w:rPr>
          <w:rFonts w:ascii="Calibri" w:hAnsi="Calibri"/>
          <w:sz w:val="24"/>
        </w:rPr>
        <w:t xml:space="preserve"> </w:t>
      </w:r>
      <w:r w:rsidRPr="00A80D1C">
        <w:rPr>
          <w:rFonts w:ascii="Calibri" w:hAnsi="Calibri"/>
          <w:sz w:val="24"/>
        </w:rPr>
        <w:t xml:space="preserve">They </w:t>
      </w:r>
      <w:r w:rsidR="0046062B" w:rsidRPr="00A80D1C">
        <w:rPr>
          <w:rFonts w:ascii="Calibri" w:hAnsi="Calibri"/>
          <w:sz w:val="24"/>
        </w:rPr>
        <w:t xml:space="preserve">can be downloaded from </w:t>
      </w:r>
      <w:r w:rsidRPr="00A80D1C">
        <w:rPr>
          <w:rFonts w:ascii="Calibri" w:hAnsi="Calibri"/>
          <w:sz w:val="24"/>
        </w:rPr>
        <w:t xml:space="preserve">the NDIS website. </w:t>
      </w:r>
      <w:r w:rsidR="0046062B" w:rsidRPr="00A80D1C">
        <w:rPr>
          <w:rFonts w:ascii="Calibri" w:hAnsi="Calibri"/>
          <w:sz w:val="24"/>
        </w:rPr>
        <w:t>They are u</w:t>
      </w:r>
      <w:r w:rsidRPr="00A80D1C">
        <w:rPr>
          <w:rFonts w:ascii="Calibri" w:hAnsi="Calibri"/>
          <w:sz w:val="24"/>
        </w:rPr>
        <w:t>sually updated each year and released in July.</w:t>
      </w:r>
      <w:r w:rsidR="0046062B" w:rsidRPr="00A80D1C">
        <w:rPr>
          <w:rFonts w:ascii="Calibri" w:hAnsi="Calibri"/>
          <w:sz w:val="24"/>
        </w:rPr>
        <w:t xml:space="preserve"> </w:t>
      </w:r>
      <w:r w:rsidR="005B459D">
        <w:rPr>
          <w:rFonts w:ascii="Calibri" w:hAnsi="Calibri"/>
          <w:sz w:val="24"/>
        </w:rPr>
        <w:t>Sometimes, there are updates made to these during the year because a few additions or modifications have been made to them. So it is worth checking regularly that you have the most up-to-date version.</w:t>
      </w:r>
    </w:p>
    <w:p w:rsidR="00474016" w:rsidRPr="00A80D1C" w:rsidRDefault="00474016" w:rsidP="00A80D1C">
      <w:pPr>
        <w:rPr>
          <w:rFonts w:ascii="Calibri" w:hAnsi="Calibri"/>
          <w:sz w:val="24"/>
        </w:rPr>
      </w:pPr>
    </w:p>
    <w:p w:rsidR="00513117" w:rsidRPr="00A80D1C" w:rsidRDefault="00513117" w:rsidP="00A80D1C">
      <w:pPr>
        <w:rPr>
          <w:rFonts w:ascii="Calibri" w:hAnsi="Calibri"/>
          <w:sz w:val="24"/>
        </w:rPr>
      </w:pPr>
      <w:r w:rsidRPr="00A80D1C">
        <w:rPr>
          <w:rFonts w:ascii="Calibri" w:hAnsi="Calibri"/>
          <w:sz w:val="24"/>
        </w:rPr>
        <w:t>Th</w:t>
      </w:r>
      <w:r w:rsidR="001179AA" w:rsidRPr="00A80D1C">
        <w:rPr>
          <w:rFonts w:ascii="Calibri" w:hAnsi="Calibri"/>
          <w:sz w:val="24"/>
        </w:rPr>
        <w:t>e Price Guide</w:t>
      </w:r>
      <w:r w:rsidRPr="00A80D1C">
        <w:rPr>
          <w:rFonts w:ascii="Calibri" w:hAnsi="Calibri"/>
          <w:sz w:val="24"/>
        </w:rPr>
        <w:t xml:space="preserve"> contains the NDIS rules and policies around pricing</w:t>
      </w:r>
      <w:r w:rsidR="001179AA" w:rsidRPr="00A80D1C">
        <w:rPr>
          <w:rFonts w:ascii="Calibri" w:hAnsi="Calibri"/>
          <w:sz w:val="24"/>
        </w:rPr>
        <w:t>.</w:t>
      </w:r>
      <w:r w:rsidRPr="00A80D1C">
        <w:rPr>
          <w:rFonts w:ascii="Calibri" w:hAnsi="Calibri"/>
          <w:sz w:val="24"/>
        </w:rPr>
        <w:t xml:space="preserve"> There are </w:t>
      </w:r>
      <w:r w:rsidR="00194CE6" w:rsidRPr="00A80D1C">
        <w:rPr>
          <w:rFonts w:ascii="Calibri" w:hAnsi="Calibri"/>
          <w:sz w:val="24"/>
        </w:rPr>
        <w:t xml:space="preserve">additional </w:t>
      </w:r>
      <w:r w:rsidR="003B51E3" w:rsidRPr="00A80D1C">
        <w:rPr>
          <w:rFonts w:ascii="Calibri" w:hAnsi="Calibri"/>
          <w:sz w:val="24"/>
        </w:rPr>
        <w:t xml:space="preserve">separate </w:t>
      </w:r>
      <w:r w:rsidRPr="00A80D1C">
        <w:rPr>
          <w:rFonts w:ascii="Calibri" w:hAnsi="Calibri"/>
          <w:sz w:val="24"/>
        </w:rPr>
        <w:t xml:space="preserve">price guides for </w:t>
      </w:r>
      <w:r w:rsidR="00CC216A" w:rsidRPr="00A80D1C">
        <w:rPr>
          <w:rFonts w:ascii="Calibri" w:hAnsi="Calibri"/>
          <w:sz w:val="24"/>
        </w:rPr>
        <w:t xml:space="preserve">assistive technology </w:t>
      </w:r>
      <w:r w:rsidR="00194CE6" w:rsidRPr="00A80D1C">
        <w:rPr>
          <w:rFonts w:ascii="Calibri" w:hAnsi="Calibri"/>
          <w:sz w:val="24"/>
        </w:rPr>
        <w:t xml:space="preserve">(AT) </w:t>
      </w:r>
      <w:r w:rsidR="00CC216A" w:rsidRPr="00A80D1C">
        <w:rPr>
          <w:rFonts w:ascii="Calibri" w:hAnsi="Calibri"/>
          <w:sz w:val="24"/>
        </w:rPr>
        <w:t xml:space="preserve">and consumables and for </w:t>
      </w:r>
      <w:r w:rsidRPr="00A80D1C">
        <w:rPr>
          <w:rFonts w:ascii="Calibri" w:hAnsi="Calibri"/>
          <w:sz w:val="24"/>
        </w:rPr>
        <w:t>SDA</w:t>
      </w:r>
      <w:r w:rsidR="00194CE6" w:rsidRPr="00A80D1C">
        <w:rPr>
          <w:rFonts w:ascii="Calibri" w:hAnsi="Calibri"/>
          <w:sz w:val="24"/>
        </w:rPr>
        <w:t xml:space="preserve"> (Specialist Disability Accommodation)</w:t>
      </w:r>
      <w:r w:rsidRPr="00A80D1C">
        <w:rPr>
          <w:rFonts w:ascii="Calibri" w:hAnsi="Calibri"/>
          <w:sz w:val="24"/>
        </w:rPr>
        <w:t>.</w:t>
      </w:r>
    </w:p>
    <w:p w:rsidR="00513117" w:rsidRPr="00A80D1C" w:rsidRDefault="00513117" w:rsidP="00A80D1C">
      <w:pPr>
        <w:rPr>
          <w:rFonts w:ascii="Calibri" w:hAnsi="Calibri"/>
          <w:sz w:val="24"/>
        </w:rPr>
      </w:pPr>
    </w:p>
    <w:p w:rsidR="0078221A" w:rsidRPr="00A80D1C" w:rsidRDefault="003B51E3" w:rsidP="00A80D1C">
      <w:pPr>
        <w:rPr>
          <w:rFonts w:ascii="Calibri" w:hAnsi="Calibri"/>
          <w:sz w:val="24"/>
        </w:rPr>
      </w:pPr>
      <w:r w:rsidRPr="00A80D1C">
        <w:rPr>
          <w:rFonts w:ascii="Calibri" w:hAnsi="Calibri"/>
          <w:sz w:val="24"/>
        </w:rPr>
        <w:t>The Price Guide covers topics such as charges related to non-face-to-face activities, provider travel, cancellation</w:t>
      </w:r>
      <w:r w:rsidR="007E64A1" w:rsidRPr="00A80D1C">
        <w:rPr>
          <w:rFonts w:ascii="Calibri" w:hAnsi="Calibri"/>
          <w:sz w:val="24"/>
        </w:rPr>
        <w:t>s</w:t>
      </w:r>
      <w:r w:rsidRPr="00A80D1C">
        <w:rPr>
          <w:rFonts w:ascii="Calibri" w:hAnsi="Calibri"/>
          <w:sz w:val="24"/>
        </w:rPr>
        <w:t>,</w:t>
      </w:r>
      <w:r w:rsidR="00362693" w:rsidRPr="00A80D1C">
        <w:rPr>
          <w:rFonts w:ascii="Calibri" w:hAnsi="Calibri"/>
          <w:sz w:val="24"/>
        </w:rPr>
        <w:t xml:space="preserve"> </w:t>
      </w:r>
      <w:r w:rsidR="00DA32E9" w:rsidRPr="00A80D1C">
        <w:rPr>
          <w:rFonts w:ascii="Calibri" w:hAnsi="Calibri"/>
          <w:sz w:val="24"/>
        </w:rPr>
        <w:t xml:space="preserve">price limits and outlines the processes that </w:t>
      </w:r>
      <w:r w:rsidR="00C16C04" w:rsidRPr="00A80D1C">
        <w:rPr>
          <w:rFonts w:ascii="Calibri" w:hAnsi="Calibri"/>
          <w:sz w:val="24"/>
        </w:rPr>
        <w:t xml:space="preserve">registered service </w:t>
      </w:r>
      <w:r w:rsidR="00DA32E9" w:rsidRPr="00A80D1C">
        <w:rPr>
          <w:rFonts w:ascii="Calibri" w:hAnsi="Calibri"/>
          <w:sz w:val="24"/>
        </w:rPr>
        <w:t xml:space="preserve">providers are expected to follow. </w:t>
      </w:r>
    </w:p>
    <w:p w:rsidR="007E64A1" w:rsidRPr="00A80D1C" w:rsidRDefault="007E64A1" w:rsidP="00A80D1C">
      <w:pPr>
        <w:rPr>
          <w:rFonts w:ascii="Calibri" w:hAnsi="Calibri"/>
          <w:sz w:val="24"/>
        </w:rPr>
      </w:pPr>
    </w:p>
    <w:p w:rsidR="000C36A4" w:rsidRPr="00A80D1C" w:rsidRDefault="007E64A1" w:rsidP="00A80D1C">
      <w:pPr>
        <w:rPr>
          <w:rFonts w:ascii="Calibri" w:hAnsi="Calibri"/>
          <w:sz w:val="24"/>
        </w:rPr>
      </w:pPr>
      <w:r w:rsidRPr="00A80D1C">
        <w:rPr>
          <w:rFonts w:ascii="Calibri" w:hAnsi="Calibri"/>
          <w:sz w:val="24"/>
        </w:rPr>
        <w:t>The NDIA are using a classification of different geographical areas of Australia to determine pricing rules. Areas are divided into location categories such as capital cities, regional, remote or very remote.</w:t>
      </w:r>
      <w:r w:rsidR="000C36A4" w:rsidRPr="00A80D1C">
        <w:rPr>
          <w:rFonts w:ascii="Calibri" w:hAnsi="Calibri"/>
          <w:sz w:val="24"/>
        </w:rPr>
        <w:t xml:space="preserve"> The distinctions are based on a system called the Modified Monash Model (MMM). </w:t>
      </w:r>
      <w:r w:rsidRPr="00A80D1C">
        <w:rPr>
          <w:rFonts w:ascii="Calibri" w:hAnsi="Calibri"/>
          <w:sz w:val="24"/>
        </w:rPr>
        <w:t xml:space="preserve">For example, some supports or associated claims such as travel, may vary </w:t>
      </w:r>
      <w:r w:rsidR="00D10F82" w:rsidRPr="00A80D1C">
        <w:rPr>
          <w:rFonts w:ascii="Calibri" w:hAnsi="Calibri"/>
          <w:sz w:val="24"/>
        </w:rPr>
        <w:t xml:space="preserve">in cost </w:t>
      </w:r>
      <w:r w:rsidRPr="00A80D1C">
        <w:rPr>
          <w:rFonts w:ascii="Calibri" w:hAnsi="Calibri"/>
          <w:sz w:val="24"/>
        </w:rPr>
        <w:t xml:space="preserve">depending on </w:t>
      </w:r>
      <w:r w:rsidR="000C36A4" w:rsidRPr="00A80D1C">
        <w:rPr>
          <w:rFonts w:ascii="Calibri" w:hAnsi="Calibri"/>
          <w:sz w:val="24"/>
        </w:rPr>
        <w:t>the level of MMM where the service is delivered. The Price guide outlines the policies relating to this and the Support Catalogue indicates the pricing for the different MMM levels.</w:t>
      </w:r>
    </w:p>
    <w:p w:rsidR="000C36A4" w:rsidRPr="00A80D1C" w:rsidRDefault="000C36A4" w:rsidP="00A80D1C">
      <w:pPr>
        <w:rPr>
          <w:rFonts w:ascii="Calibri" w:hAnsi="Calibri"/>
          <w:sz w:val="24"/>
        </w:rPr>
      </w:pPr>
    </w:p>
    <w:p w:rsidR="003B51E3" w:rsidRPr="00A80D1C" w:rsidRDefault="00B309F8" w:rsidP="00A80D1C">
      <w:pPr>
        <w:rPr>
          <w:rFonts w:ascii="Calibri" w:hAnsi="Calibri"/>
          <w:sz w:val="24"/>
        </w:rPr>
      </w:pPr>
      <w:r w:rsidRPr="00A80D1C">
        <w:rPr>
          <w:rFonts w:ascii="Calibri" w:hAnsi="Calibri"/>
          <w:sz w:val="24"/>
        </w:rPr>
        <w:t>The Price guide</w:t>
      </w:r>
      <w:r w:rsidR="00C16C04" w:rsidRPr="00A80D1C">
        <w:rPr>
          <w:rFonts w:ascii="Calibri" w:hAnsi="Calibri"/>
          <w:sz w:val="24"/>
        </w:rPr>
        <w:t xml:space="preserve"> mainly helps service providers </w:t>
      </w:r>
      <w:r w:rsidR="0066595F" w:rsidRPr="00A80D1C">
        <w:rPr>
          <w:rFonts w:ascii="Calibri" w:hAnsi="Calibri"/>
          <w:sz w:val="24"/>
        </w:rPr>
        <w:t xml:space="preserve">with guidance </w:t>
      </w:r>
      <w:r w:rsidR="003B51E3" w:rsidRPr="00A80D1C">
        <w:rPr>
          <w:rFonts w:ascii="Calibri" w:hAnsi="Calibri"/>
          <w:sz w:val="24"/>
        </w:rPr>
        <w:t xml:space="preserve">when making claims for payment against supports they have provided. However, it can help participants </w:t>
      </w:r>
      <w:r w:rsidR="00C16C04" w:rsidRPr="00A80D1C">
        <w:rPr>
          <w:rFonts w:ascii="Calibri" w:hAnsi="Calibri"/>
          <w:sz w:val="24"/>
        </w:rPr>
        <w:t xml:space="preserve">to also know what </w:t>
      </w:r>
      <w:r w:rsidR="0066595F" w:rsidRPr="00A80D1C">
        <w:rPr>
          <w:rFonts w:ascii="Calibri" w:hAnsi="Calibri"/>
          <w:sz w:val="24"/>
        </w:rPr>
        <w:t>service providers are permitted and not permitted to claim against your plan.</w:t>
      </w:r>
    </w:p>
    <w:p w:rsidR="0066595F" w:rsidRPr="00A80D1C" w:rsidRDefault="0066595F" w:rsidP="00A80D1C">
      <w:pPr>
        <w:rPr>
          <w:rFonts w:ascii="Calibri" w:hAnsi="Calibri"/>
          <w:sz w:val="24"/>
        </w:rPr>
      </w:pPr>
    </w:p>
    <w:p w:rsidR="005F2072" w:rsidRPr="00A80D1C" w:rsidRDefault="00E20FE0" w:rsidP="00A80D1C">
      <w:pPr>
        <w:rPr>
          <w:rFonts w:ascii="Calibri" w:hAnsi="Calibri"/>
          <w:sz w:val="24"/>
        </w:rPr>
      </w:pPr>
      <w:r w:rsidRPr="00A80D1C">
        <w:rPr>
          <w:rFonts w:ascii="Calibri" w:hAnsi="Calibri"/>
          <w:sz w:val="24"/>
        </w:rPr>
        <w:t xml:space="preserve">The Support Catalogue </w:t>
      </w:r>
      <w:r w:rsidR="00C63A1F" w:rsidRPr="00A80D1C">
        <w:rPr>
          <w:rFonts w:ascii="Calibri" w:hAnsi="Calibri"/>
          <w:sz w:val="24"/>
        </w:rPr>
        <w:t xml:space="preserve">lists all the </w:t>
      </w:r>
      <w:r w:rsidR="00F42DD6" w:rsidRPr="00A80D1C">
        <w:rPr>
          <w:rFonts w:ascii="Calibri" w:hAnsi="Calibri"/>
          <w:sz w:val="24"/>
        </w:rPr>
        <w:t xml:space="preserve">specific </w:t>
      </w:r>
      <w:r w:rsidR="00C63A1F" w:rsidRPr="00A80D1C">
        <w:rPr>
          <w:rFonts w:ascii="Calibri" w:hAnsi="Calibri"/>
          <w:sz w:val="24"/>
        </w:rPr>
        <w:t xml:space="preserve">supports </w:t>
      </w:r>
      <w:r w:rsidR="00620C8C" w:rsidRPr="00A80D1C">
        <w:rPr>
          <w:rFonts w:ascii="Calibri" w:hAnsi="Calibri"/>
          <w:sz w:val="24"/>
        </w:rPr>
        <w:t xml:space="preserve">that are recognised in the NDIS payment system, and these are referred to as </w:t>
      </w:r>
      <w:r w:rsidR="00F42DD6" w:rsidRPr="00A80D1C">
        <w:rPr>
          <w:rFonts w:ascii="Calibri" w:hAnsi="Calibri"/>
          <w:sz w:val="24"/>
        </w:rPr>
        <w:t>“</w:t>
      </w:r>
      <w:r w:rsidR="00620C8C" w:rsidRPr="00A80D1C">
        <w:rPr>
          <w:rFonts w:ascii="Calibri" w:hAnsi="Calibri"/>
          <w:sz w:val="24"/>
        </w:rPr>
        <w:t>line items</w:t>
      </w:r>
      <w:r w:rsidR="00F42DD6" w:rsidRPr="00A80D1C">
        <w:rPr>
          <w:rFonts w:ascii="Calibri" w:hAnsi="Calibri"/>
          <w:sz w:val="24"/>
        </w:rPr>
        <w:t>”</w:t>
      </w:r>
      <w:r w:rsidR="00620C8C" w:rsidRPr="00A80D1C">
        <w:rPr>
          <w:rFonts w:ascii="Calibri" w:hAnsi="Calibri"/>
          <w:sz w:val="24"/>
        </w:rPr>
        <w:t>.</w:t>
      </w:r>
      <w:r w:rsidR="003F2B42" w:rsidRPr="00A80D1C">
        <w:rPr>
          <w:rFonts w:ascii="Calibri" w:hAnsi="Calibri"/>
          <w:sz w:val="24"/>
        </w:rPr>
        <w:t xml:space="preserve"> However, it </w:t>
      </w:r>
      <w:r w:rsidR="005F2072" w:rsidRPr="00A80D1C">
        <w:rPr>
          <w:rFonts w:ascii="Calibri" w:hAnsi="Calibri"/>
          <w:sz w:val="24"/>
        </w:rPr>
        <w:t>is not a comprehensive list of all supports that may be reasonable and necessary for a participant.</w:t>
      </w:r>
    </w:p>
    <w:p w:rsidR="00620C8C" w:rsidRPr="00A80D1C" w:rsidRDefault="00620C8C" w:rsidP="00A80D1C">
      <w:pPr>
        <w:rPr>
          <w:rFonts w:ascii="Calibri" w:hAnsi="Calibri"/>
          <w:sz w:val="24"/>
        </w:rPr>
      </w:pPr>
    </w:p>
    <w:p w:rsidR="001179AA" w:rsidRPr="00A80D1C" w:rsidRDefault="007416CE" w:rsidP="00A80D1C">
      <w:pPr>
        <w:rPr>
          <w:rFonts w:ascii="Calibri" w:hAnsi="Calibri"/>
          <w:sz w:val="24"/>
        </w:rPr>
      </w:pPr>
      <w:r w:rsidRPr="00A80D1C">
        <w:rPr>
          <w:rFonts w:ascii="Calibri" w:hAnsi="Calibri"/>
          <w:sz w:val="24"/>
        </w:rPr>
        <w:lastRenderedPageBreak/>
        <w:t xml:space="preserve">The Support Catalogue </w:t>
      </w:r>
      <w:r w:rsidR="001179AA" w:rsidRPr="00A80D1C">
        <w:rPr>
          <w:rFonts w:ascii="Calibri" w:hAnsi="Calibri"/>
          <w:sz w:val="24"/>
        </w:rPr>
        <w:t>Give</w:t>
      </w:r>
      <w:r w:rsidR="00FA1CC1" w:rsidRPr="00A80D1C">
        <w:rPr>
          <w:rFonts w:ascii="Calibri" w:hAnsi="Calibri"/>
          <w:sz w:val="24"/>
        </w:rPr>
        <w:t>s</w:t>
      </w:r>
      <w:r w:rsidR="001179AA" w:rsidRPr="00A80D1C">
        <w:rPr>
          <w:rFonts w:ascii="Calibri" w:hAnsi="Calibri"/>
          <w:sz w:val="24"/>
        </w:rPr>
        <w:t xml:space="preserve"> the maximum prices that Registered Providers can charge </w:t>
      </w:r>
      <w:r w:rsidR="005A6221" w:rsidRPr="00A80D1C">
        <w:rPr>
          <w:rFonts w:ascii="Calibri" w:hAnsi="Calibri"/>
          <w:sz w:val="24"/>
        </w:rPr>
        <w:t xml:space="preserve">you </w:t>
      </w:r>
      <w:r w:rsidR="001179AA" w:rsidRPr="00A80D1C">
        <w:rPr>
          <w:rFonts w:ascii="Calibri" w:hAnsi="Calibri"/>
          <w:sz w:val="24"/>
        </w:rPr>
        <w:t>for support</w:t>
      </w:r>
      <w:r w:rsidR="002E0462" w:rsidRPr="00A80D1C">
        <w:rPr>
          <w:rFonts w:ascii="Calibri" w:hAnsi="Calibri"/>
          <w:sz w:val="24"/>
        </w:rPr>
        <w:t xml:space="preserve"> item</w:t>
      </w:r>
      <w:r w:rsidR="001179AA" w:rsidRPr="00A80D1C">
        <w:rPr>
          <w:rFonts w:ascii="Calibri" w:hAnsi="Calibri"/>
          <w:sz w:val="24"/>
        </w:rPr>
        <w:t xml:space="preserve">s. There is no requirement for providers to charge at the maximum price for a given support or service. </w:t>
      </w:r>
      <w:r w:rsidR="005A6221" w:rsidRPr="00A80D1C">
        <w:rPr>
          <w:rFonts w:ascii="Calibri" w:hAnsi="Calibri"/>
          <w:sz w:val="24"/>
        </w:rPr>
        <w:t xml:space="preserve">You </w:t>
      </w:r>
      <w:r w:rsidR="001179AA" w:rsidRPr="00A80D1C">
        <w:rPr>
          <w:rFonts w:ascii="Calibri" w:hAnsi="Calibri"/>
          <w:sz w:val="24"/>
        </w:rPr>
        <w:t xml:space="preserve">and </w:t>
      </w:r>
      <w:r w:rsidR="005A6221" w:rsidRPr="00A80D1C">
        <w:rPr>
          <w:rFonts w:ascii="Calibri" w:hAnsi="Calibri"/>
          <w:sz w:val="24"/>
        </w:rPr>
        <w:t xml:space="preserve">your </w:t>
      </w:r>
      <w:r w:rsidR="001179AA" w:rsidRPr="00A80D1C">
        <w:rPr>
          <w:rFonts w:ascii="Calibri" w:hAnsi="Calibri"/>
          <w:sz w:val="24"/>
        </w:rPr>
        <w:t>providers are free to negotiate lower prices.</w:t>
      </w:r>
      <w:r w:rsidR="00314789" w:rsidRPr="00A80D1C">
        <w:rPr>
          <w:rFonts w:ascii="Calibri" w:hAnsi="Calibri"/>
          <w:sz w:val="24"/>
        </w:rPr>
        <w:t xml:space="preserve"> Also, not all supports have price limits.</w:t>
      </w:r>
    </w:p>
    <w:p w:rsidR="00513117" w:rsidRPr="00A80D1C" w:rsidRDefault="00513117" w:rsidP="00A80D1C">
      <w:pPr>
        <w:rPr>
          <w:rFonts w:ascii="Calibri" w:hAnsi="Calibri"/>
          <w:sz w:val="24"/>
        </w:rPr>
      </w:pPr>
    </w:p>
    <w:p w:rsidR="00DF6C31" w:rsidRPr="00A80D1C" w:rsidRDefault="00DF6C31" w:rsidP="00A80D1C">
      <w:pPr>
        <w:rPr>
          <w:rFonts w:ascii="Calibri" w:hAnsi="Calibri"/>
          <w:sz w:val="24"/>
        </w:rPr>
      </w:pPr>
      <w:r w:rsidRPr="00A80D1C">
        <w:rPr>
          <w:rFonts w:ascii="Calibri" w:hAnsi="Calibri"/>
          <w:sz w:val="24"/>
        </w:rPr>
        <w:t>In general, support items subject to price controls have a single national price limit. However, some Capacity Building supports have two price limits: one for New South Wales, Victoria, Queensland and the Australian Capital Territory; and a different price limit for South Australia, Western Australia, Tasmania and the Northern Territory.</w:t>
      </w:r>
    </w:p>
    <w:p w:rsidR="00DF6C31" w:rsidRPr="00A80D1C" w:rsidRDefault="00DF6C31" w:rsidP="00A80D1C">
      <w:pPr>
        <w:rPr>
          <w:rFonts w:ascii="Calibri" w:hAnsi="Calibri"/>
          <w:sz w:val="24"/>
        </w:rPr>
      </w:pPr>
    </w:p>
    <w:p w:rsidR="001179AA" w:rsidRPr="00A80D1C" w:rsidRDefault="0031068E" w:rsidP="00A80D1C">
      <w:pPr>
        <w:rPr>
          <w:rFonts w:ascii="Calibri" w:hAnsi="Calibri"/>
          <w:sz w:val="24"/>
        </w:rPr>
      </w:pPr>
      <w:r w:rsidRPr="00A80D1C">
        <w:rPr>
          <w:rFonts w:ascii="Calibri" w:hAnsi="Calibri"/>
          <w:sz w:val="24"/>
        </w:rPr>
        <w:t>The Catalogue is also a handy reference to see for each item if a provider can charge any associated travel, cancellation or non-face-to-face activities, as well as if the NDIA requires a quote before approving the purchase of the support.</w:t>
      </w:r>
    </w:p>
    <w:p w:rsidR="008F15BD" w:rsidRPr="00A80D1C" w:rsidRDefault="008F15BD" w:rsidP="00A80D1C">
      <w:pPr>
        <w:rPr>
          <w:rFonts w:ascii="Calibri" w:hAnsi="Calibri"/>
          <w:sz w:val="24"/>
        </w:rPr>
      </w:pPr>
    </w:p>
    <w:p w:rsidR="00314789" w:rsidRPr="00A80D1C" w:rsidRDefault="00314789" w:rsidP="00A80D1C">
      <w:pPr>
        <w:rPr>
          <w:rFonts w:ascii="Calibri" w:hAnsi="Calibri"/>
          <w:sz w:val="24"/>
        </w:rPr>
      </w:pPr>
      <w:r w:rsidRPr="00A80D1C">
        <w:rPr>
          <w:rFonts w:ascii="Calibri" w:hAnsi="Calibri"/>
          <w:sz w:val="24"/>
        </w:rPr>
        <w:t xml:space="preserve">Included in the Support Catalogue are </w:t>
      </w:r>
      <w:r w:rsidR="0073608A" w:rsidRPr="00A80D1C">
        <w:rPr>
          <w:rFonts w:ascii="Calibri" w:hAnsi="Calibri"/>
          <w:sz w:val="24"/>
        </w:rPr>
        <w:t>item descript</w:t>
      </w:r>
      <w:r w:rsidRPr="00A80D1C">
        <w:rPr>
          <w:rFonts w:ascii="Calibri" w:hAnsi="Calibri"/>
          <w:sz w:val="24"/>
        </w:rPr>
        <w:t>ion</w:t>
      </w:r>
      <w:r w:rsidR="0073608A" w:rsidRPr="00A80D1C">
        <w:rPr>
          <w:rFonts w:ascii="Calibri" w:hAnsi="Calibri"/>
          <w:sz w:val="24"/>
        </w:rPr>
        <w:t xml:space="preserve">s to assist providers to claim payments using a “best-fit” </w:t>
      </w:r>
      <w:proofErr w:type="gramStart"/>
      <w:r w:rsidR="0073608A" w:rsidRPr="00A80D1C">
        <w:rPr>
          <w:rFonts w:ascii="Calibri" w:hAnsi="Calibri"/>
          <w:sz w:val="24"/>
        </w:rPr>
        <w:t>approach</w:t>
      </w:r>
      <w:r w:rsidRPr="00A80D1C">
        <w:rPr>
          <w:rFonts w:ascii="Calibri" w:hAnsi="Calibri"/>
          <w:sz w:val="24"/>
        </w:rPr>
        <w:t>.</w:t>
      </w:r>
      <w:proofErr w:type="gramEnd"/>
      <w:r w:rsidR="0073608A" w:rsidRPr="00A80D1C">
        <w:rPr>
          <w:rFonts w:ascii="Calibri" w:hAnsi="Calibri"/>
          <w:sz w:val="24"/>
        </w:rPr>
        <w:t xml:space="preserve"> </w:t>
      </w:r>
      <w:r w:rsidRPr="00A80D1C">
        <w:rPr>
          <w:rFonts w:ascii="Calibri" w:hAnsi="Calibri"/>
          <w:sz w:val="24"/>
        </w:rPr>
        <w:t xml:space="preserve">For example, a waterproof mattress is not in the Support Catalogue but the provider may claim payment for it against a pressure </w:t>
      </w:r>
      <w:r w:rsidR="00601A47" w:rsidRPr="00A80D1C">
        <w:rPr>
          <w:rFonts w:ascii="Calibri" w:hAnsi="Calibri"/>
          <w:sz w:val="24"/>
        </w:rPr>
        <w:t xml:space="preserve">reduction </w:t>
      </w:r>
      <w:r w:rsidRPr="00A80D1C">
        <w:rPr>
          <w:rFonts w:ascii="Calibri" w:hAnsi="Calibri"/>
          <w:sz w:val="24"/>
        </w:rPr>
        <w:t>mattress</w:t>
      </w:r>
      <w:r w:rsidR="00601A47" w:rsidRPr="00A80D1C">
        <w:rPr>
          <w:rFonts w:ascii="Calibri" w:hAnsi="Calibri"/>
          <w:sz w:val="24"/>
        </w:rPr>
        <w:t xml:space="preserve"> which is in there</w:t>
      </w:r>
      <w:r w:rsidRPr="00A80D1C">
        <w:rPr>
          <w:rFonts w:ascii="Calibri" w:hAnsi="Calibri"/>
          <w:sz w:val="24"/>
        </w:rPr>
        <w:t xml:space="preserve">. The NDIA will </w:t>
      </w:r>
      <w:r w:rsidR="00A8544B" w:rsidRPr="00A80D1C">
        <w:rPr>
          <w:rFonts w:ascii="Calibri" w:hAnsi="Calibri"/>
          <w:sz w:val="24"/>
        </w:rPr>
        <w:t xml:space="preserve">also </w:t>
      </w:r>
      <w:r w:rsidRPr="00A80D1C">
        <w:rPr>
          <w:rFonts w:ascii="Calibri" w:hAnsi="Calibri"/>
          <w:sz w:val="24"/>
        </w:rPr>
        <w:t>use this system if they have approved an item as a stated support</w:t>
      </w:r>
      <w:r w:rsidR="00A8544B" w:rsidRPr="00A80D1C">
        <w:rPr>
          <w:rFonts w:ascii="Calibri" w:hAnsi="Calibri"/>
          <w:sz w:val="24"/>
        </w:rPr>
        <w:t xml:space="preserve"> in your plan</w:t>
      </w:r>
      <w:r w:rsidRPr="00A80D1C">
        <w:rPr>
          <w:rFonts w:ascii="Calibri" w:hAnsi="Calibri"/>
          <w:sz w:val="24"/>
        </w:rPr>
        <w:t>.</w:t>
      </w:r>
    </w:p>
    <w:p w:rsidR="00314789" w:rsidRPr="00A80D1C" w:rsidRDefault="00314789" w:rsidP="00A80D1C">
      <w:pPr>
        <w:rPr>
          <w:rFonts w:ascii="Calibri" w:hAnsi="Calibri"/>
          <w:sz w:val="24"/>
        </w:rPr>
      </w:pPr>
    </w:p>
    <w:p w:rsidR="008C00E3" w:rsidRPr="00A80D1C" w:rsidRDefault="008C00E3" w:rsidP="000A17AA">
      <w:pPr>
        <w:pStyle w:val="Heading2"/>
      </w:pPr>
      <w:r w:rsidRPr="00A80D1C">
        <w:t>Temporary Transformation Payment</w:t>
      </w:r>
    </w:p>
    <w:p w:rsidR="008C00E3" w:rsidRPr="00A80D1C" w:rsidRDefault="00F46F32" w:rsidP="00A80D1C">
      <w:pPr>
        <w:rPr>
          <w:rFonts w:ascii="Calibri" w:hAnsi="Calibri"/>
          <w:sz w:val="24"/>
        </w:rPr>
      </w:pPr>
      <w:r w:rsidRPr="00A80D1C">
        <w:rPr>
          <w:rFonts w:ascii="Calibri" w:hAnsi="Calibri"/>
          <w:sz w:val="24"/>
        </w:rPr>
        <w:t xml:space="preserve">In 2019, the NDIA introduced </w:t>
      </w:r>
      <w:r w:rsidR="008C00E3" w:rsidRPr="00A80D1C">
        <w:rPr>
          <w:rFonts w:ascii="Calibri" w:hAnsi="Calibri"/>
          <w:sz w:val="24"/>
        </w:rPr>
        <w:t xml:space="preserve">The Temporary Transformation Payment (TTP) </w:t>
      </w:r>
      <w:r w:rsidRPr="00A80D1C">
        <w:rPr>
          <w:rFonts w:ascii="Calibri" w:hAnsi="Calibri"/>
          <w:sz w:val="24"/>
        </w:rPr>
        <w:t xml:space="preserve">which </w:t>
      </w:r>
      <w:r w:rsidR="008C00E3" w:rsidRPr="00A80D1C">
        <w:rPr>
          <w:rFonts w:ascii="Calibri" w:hAnsi="Calibri"/>
          <w:sz w:val="24"/>
        </w:rPr>
        <w:t>is an additional cost providers can charge as they continue to transition to working under the NDIS.</w:t>
      </w:r>
      <w:r w:rsidR="00CC7F58" w:rsidRPr="00A80D1C">
        <w:rPr>
          <w:rFonts w:ascii="Calibri" w:hAnsi="Calibri"/>
          <w:sz w:val="24"/>
        </w:rPr>
        <w:t xml:space="preserve"> </w:t>
      </w:r>
      <w:r w:rsidR="008C00E3" w:rsidRPr="00A80D1C">
        <w:rPr>
          <w:rFonts w:ascii="Calibri" w:hAnsi="Calibri"/>
          <w:sz w:val="24"/>
        </w:rPr>
        <w:t>The TTP is a charge on top of the base rate price limit for attendant care and community and centre-based activities.</w:t>
      </w:r>
    </w:p>
    <w:p w:rsidR="00CC7F58" w:rsidRPr="00A80D1C" w:rsidRDefault="00CC7F58" w:rsidP="00A80D1C">
      <w:pPr>
        <w:rPr>
          <w:rFonts w:ascii="Calibri" w:hAnsi="Calibri"/>
          <w:sz w:val="24"/>
        </w:rPr>
      </w:pPr>
    </w:p>
    <w:p w:rsidR="008C00E3" w:rsidRPr="00A80D1C" w:rsidRDefault="008C00E3" w:rsidP="00A80D1C">
      <w:pPr>
        <w:rPr>
          <w:rFonts w:ascii="Calibri" w:hAnsi="Calibri"/>
          <w:sz w:val="24"/>
        </w:rPr>
      </w:pPr>
      <w:r w:rsidRPr="00A80D1C">
        <w:rPr>
          <w:rFonts w:ascii="Calibri" w:hAnsi="Calibri"/>
          <w:sz w:val="24"/>
        </w:rPr>
        <w:t>Before providers can apply the TTP to prices they charge, they must inform you and confirm your acceptance of the new price.</w:t>
      </w:r>
    </w:p>
    <w:p w:rsidR="00CC7F58" w:rsidRPr="00A80D1C" w:rsidRDefault="00CC7F58" w:rsidP="00A80D1C">
      <w:pPr>
        <w:rPr>
          <w:rFonts w:ascii="Calibri" w:hAnsi="Calibri"/>
          <w:sz w:val="24"/>
        </w:rPr>
      </w:pPr>
    </w:p>
    <w:p w:rsidR="008C00E3" w:rsidRPr="00A80D1C" w:rsidRDefault="008C00E3" w:rsidP="00A80D1C">
      <w:pPr>
        <w:rPr>
          <w:rFonts w:ascii="Calibri" w:hAnsi="Calibri"/>
          <w:sz w:val="24"/>
        </w:rPr>
      </w:pPr>
      <w:r w:rsidRPr="00A80D1C">
        <w:rPr>
          <w:rFonts w:ascii="Calibri" w:hAnsi="Calibri"/>
          <w:sz w:val="24"/>
        </w:rPr>
        <w:t>If providers want to charge the TTP, they must:</w:t>
      </w:r>
    </w:p>
    <w:p w:rsidR="008C00E3" w:rsidRPr="00E12319" w:rsidRDefault="008C00E3" w:rsidP="00E12319">
      <w:pPr>
        <w:pStyle w:val="ListParagraph"/>
        <w:numPr>
          <w:ilvl w:val="0"/>
          <w:numId w:val="7"/>
        </w:numPr>
        <w:rPr>
          <w:rFonts w:ascii="Calibri" w:hAnsi="Calibri"/>
          <w:sz w:val="24"/>
        </w:rPr>
      </w:pPr>
      <w:r w:rsidRPr="00E12319">
        <w:rPr>
          <w:rFonts w:ascii="Calibri" w:hAnsi="Calibri"/>
          <w:sz w:val="24"/>
        </w:rPr>
        <w:t>publish their service prices on their website;</w:t>
      </w:r>
    </w:p>
    <w:p w:rsidR="008C00E3" w:rsidRPr="00E12319" w:rsidRDefault="008C00E3" w:rsidP="00E12319">
      <w:pPr>
        <w:pStyle w:val="ListParagraph"/>
        <w:numPr>
          <w:ilvl w:val="0"/>
          <w:numId w:val="7"/>
        </w:numPr>
        <w:rPr>
          <w:rFonts w:ascii="Calibri" w:hAnsi="Calibri"/>
          <w:sz w:val="24"/>
        </w:rPr>
      </w:pPr>
      <w:r w:rsidRPr="00E12319">
        <w:rPr>
          <w:rFonts w:ascii="Calibri" w:hAnsi="Calibri"/>
          <w:sz w:val="24"/>
        </w:rPr>
        <w:t>list and keep up-to-date their business contact details in the Provider Finder; and</w:t>
      </w:r>
    </w:p>
    <w:p w:rsidR="008C00E3" w:rsidRPr="00E12319" w:rsidRDefault="008C00E3" w:rsidP="00E12319">
      <w:pPr>
        <w:pStyle w:val="ListParagraph"/>
        <w:numPr>
          <w:ilvl w:val="0"/>
          <w:numId w:val="7"/>
        </w:numPr>
        <w:rPr>
          <w:rFonts w:ascii="Calibri" w:hAnsi="Calibri"/>
          <w:sz w:val="24"/>
        </w:rPr>
      </w:pPr>
      <w:proofErr w:type="gramStart"/>
      <w:r w:rsidRPr="00E12319">
        <w:rPr>
          <w:rFonts w:ascii="Calibri" w:hAnsi="Calibri"/>
          <w:sz w:val="24"/>
        </w:rPr>
        <w:t>participate</w:t>
      </w:r>
      <w:proofErr w:type="gramEnd"/>
      <w:r w:rsidRPr="00E12319">
        <w:rPr>
          <w:rFonts w:ascii="Calibri" w:hAnsi="Calibri"/>
          <w:sz w:val="24"/>
        </w:rPr>
        <w:t xml:space="preserve"> annually in an Agency-approved market benchmarking survey.</w:t>
      </w:r>
    </w:p>
    <w:p w:rsidR="00345883" w:rsidRPr="00A80D1C" w:rsidRDefault="00345883" w:rsidP="00A80D1C">
      <w:pPr>
        <w:rPr>
          <w:rFonts w:ascii="Calibri" w:hAnsi="Calibri"/>
          <w:sz w:val="24"/>
        </w:rPr>
      </w:pPr>
    </w:p>
    <w:p w:rsidR="00D61FC9" w:rsidRPr="00A80D1C" w:rsidRDefault="00C428B7" w:rsidP="00A80D1C">
      <w:pPr>
        <w:rPr>
          <w:rFonts w:ascii="Calibri" w:hAnsi="Calibri"/>
          <w:sz w:val="24"/>
        </w:rPr>
      </w:pPr>
      <w:r w:rsidRPr="00A80D1C">
        <w:rPr>
          <w:rFonts w:ascii="Calibri" w:hAnsi="Calibri"/>
          <w:sz w:val="24"/>
        </w:rPr>
        <w:t>The same basic support may appear in the catalogue multiple times as different support items with different prices. This is to account for variations in service delivery considering the following factors:</w:t>
      </w:r>
    </w:p>
    <w:p w:rsidR="00D61FC9" w:rsidRPr="00E12319" w:rsidRDefault="00D61FC9" w:rsidP="00E12319">
      <w:pPr>
        <w:pStyle w:val="ListParagraph"/>
        <w:numPr>
          <w:ilvl w:val="0"/>
          <w:numId w:val="7"/>
        </w:numPr>
        <w:rPr>
          <w:rFonts w:ascii="Calibri" w:hAnsi="Calibri"/>
          <w:sz w:val="24"/>
        </w:rPr>
      </w:pPr>
      <w:r w:rsidRPr="00E12319">
        <w:rPr>
          <w:rFonts w:ascii="Calibri" w:hAnsi="Calibri"/>
          <w:sz w:val="24"/>
        </w:rPr>
        <w:t>the time of day that the support is delivered;</w:t>
      </w:r>
    </w:p>
    <w:p w:rsidR="00D61FC9" w:rsidRPr="00E12319" w:rsidRDefault="00D61FC9" w:rsidP="00E12319">
      <w:pPr>
        <w:pStyle w:val="ListParagraph"/>
        <w:numPr>
          <w:ilvl w:val="0"/>
          <w:numId w:val="7"/>
        </w:numPr>
        <w:rPr>
          <w:rFonts w:ascii="Calibri" w:hAnsi="Calibri"/>
          <w:sz w:val="24"/>
        </w:rPr>
      </w:pPr>
      <w:r w:rsidRPr="00E12319">
        <w:rPr>
          <w:rFonts w:ascii="Calibri" w:hAnsi="Calibri"/>
          <w:sz w:val="24"/>
        </w:rPr>
        <w:t>the day of week that the support is delivered;</w:t>
      </w:r>
    </w:p>
    <w:p w:rsidR="00D61FC9" w:rsidRPr="00E12319" w:rsidRDefault="00D61FC9" w:rsidP="00E12319">
      <w:pPr>
        <w:pStyle w:val="ListParagraph"/>
        <w:numPr>
          <w:ilvl w:val="0"/>
          <w:numId w:val="7"/>
        </w:numPr>
        <w:rPr>
          <w:rFonts w:ascii="Calibri" w:hAnsi="Calibri"/>
          <w:sz w:val="24"/>
        </w:rPr>
      </w:pPr>
      <w:r w:rsidRPr="00E12319">
        <w:rPr>
          <w:rFonts w:ascii="Calibri" w:hAnsi="Calibri"/>
          <w:sz w:val="24"/>
        </w:rPr>
        <w:t>whether the support is Standard Intensity or High Intensity</w:t>
      </w:r>
      <w:r w:rsidR="00872D9E" w:rsidRPr="00E12319">
        <w:rPr>
          <w:rFonts w:ascii="Calibri" w:hAnsi="Calibri"/>
          <w:sz w:val="24"/>
        </w:rPr>
        <w:t xml:space="preserve"> ( for complex needs)</w:t>
      </w:r>
      <w:r w:rsidRPr="00E12319">
        <w:rPr>
          <w:rFonts w:ascii="Calibri" w:hAnsi="Calibri"/>
          <w:sz w:val="24"/>
        </w:rPr>
        <w:t>;</w:t>
      </w:r>
    </w:p>
    <w:p w:rsidR="00D61FC9" w:rsidRPr="00E12319" w:rsidRDefault="00D61FC9" w:rsidP="00E12319">
      <w:pPr>
        <w:pStyle w:val="ListParagraph"/>
        <w:numPr>
          <w:ilvl w:val="0"/>
          <w:numId w:val="7"/>
        </w:numPr>
        <w:rPr>
          <w:rFonts w:ascii="Calibri" w:hAnsi="Calibri"/>
          <w:sz w:val="24"/>
        </w:rPr>
      </w:pPr>
      <w:r w:rsidRPr="00E12319">
        <w:rPr>
          <w:rFonts w:ascii="Calibri" w:hAnsi="Calibri"/>
          <w:sz w:val="24"/>
        </w:rPr>
        <w:t>whether the provider is eligible for the Temporary Transformation Payment</w:t>
      </w:r>
      <w:r w:rsidR="0025434A" w:rsidRPr="00E12319">
        <w:rPr>
          <w:rFonts w:ascii="Calibri" w:hAnsi="Calibri"/>
          <w:sz w:val="24"/>
        </w:rPr>
        <w:t>;</w:t>
      </w:r>
    </w:p>
    <w:p w:rsidR="0025434A" w:rsidRPr="00E12319" w:rsidRDefault="0025434A" w:rsidP="00E12319">
      <w:pPr>
        <w:pStyle w:val="ListParagraph"/>
        <w:numPr>
          <w:ilvl w:val="0"/>
          <w:numId w:val="7"/>
        </w:numPr>
        <w:rPr>
          <w:rFonts w:ascii="Calibri" w:hAnsi="Calibri"/>
          <w:sz w:val="24"/>
        </w:rPr>
      </w:pPr>
      <w:r w:rsidRPr="00E12319">
        <w:rPr>
          <w:rFonts w:ascii="Calibri" w:hAnsi="Calibri"/>
          <w:sz w:val="24"/>
        </w:rPr>
        <w:t>What the ratio of support worker to participant was if it was a group-based service.</w:t>
      </w:r>
    </w:p>
    <w:p w:rsidR="0025434A" w:rsidRPr="00A80D1C" w:rsidRDefault="0025434A" w:rsidP="00A80D1C">
      <w:pPr>
        <w:rPr>
          <w:rFonts w:ascii="Calibri" w:hAnsi="Calibri"/>
          <w:sz w:val="24"/>
        </w:rPr>
      </w:pPr>
    </w:p>
    <w:p w:rsidR="00345883" w:rsidRPr="00A80D1C" w:rsidRDefault="00345883" w:rsidP="00A80D1C">
      <w:pPr>
        <w:rPr>
          <w:rFonts w:ascii="Calibri" w:hAnsi="Calibri"/>
          <w:sz w:val="24"/>
        </w:rPr>
      </w:pPr>
      <w:r w:rsidRPr="00A80D1C">
        <w:rPr>
          <w:rFonts w:ascii="Calibri" w:hAnsi="Calibri"/>
          <w:sz w:val="24"/>
        </w:rPr>
        <w:t xml:space="preserve">Each support item </w:t>
      </w:r>
      <w:r w:rsidR="00986458" w:rsidRPr="00A80D1C">
        <w:rPr>
          <w:rFonts w:ascii="Calibri" w:hAnsi="Calibri"/>
          <w:sz w:val="24"/>
        </w:rPr>
        <w:t xml:space="preserve">in the catalogue has its own name, and </w:t>
      </w:r>
      <w:r w:rsidRPr="00A80D1C">
        <w:rPr>
          <w:rFonts w:ascii="Calibri" w:hAnsi="Calibri"/>
          <w:sz w:val="24"/>
        </w:rPr>
        <w:t xml:space="preserve">has a unique reference number, according to the following structure: </w:t>
      </w:r>
    </w:p>
    <w:p w:rsidR="00986458" w:rsidRPr="00A80D1C" w:rsidRDefault="00986458" w:rsidP="00A80D1C">
      <w:pPr>
        <w:rPr>
          <w:rFonts w:ascii="Calibri" w:hAnsi="Calibri"/>
          <w:sz w:val="24"/>
        </w:rPr>
      </w:pPr>
      <w:r w:rsidRPr="00A80D1C">
        <w:rPr>
          <w:rFonts w:ascii="Calibri" w:hAnsi="Calibri"/>
          <w:sz w:val="24"/>
        </w:rPr>
        <w:t>Support Category, Sequence Number, Registration Group, Outcome Domain, Support Purpose.</w:t>
      </w:r>
    </w:p>
    <w:p w:rsidR="00986458" w:rsidRPr="00A80D1C" w:rsidRDefault="00986458" w:rsidP="00A80D1C">
      <w:pPr>
        <w:rPr>
          <w:rFonts w:ascii="Calibri" w:hAnsi="Calibri"/>
          <w:sz w:val="24"/>
        </w:rPr>
      </w:pPr>
    </w:p>
    <w:p w:rsidR="00345883" w:rsidRPr="00A80D1C" w:rsidRDefault="00345883" w:rsidP="00A80D1C">
      <w:pPr>
        <w:rPr>
          <w:rFonts w:ascii="Calibri" w:hAnsi="Calibri"/>
          <w:sz w:val="24"/>
        </w:rPr>
      </w:pPr>
      <w:r w:rsidRPr="00A80D1C">
        <w:rPr>
          <w:rFonts w:ascii="Calibri" w:hAnsi="Calibri"/>
          <w:sz w:val="24"/>
        </w:rPr>
        <w:t>For example:</w:t>
      </w:r>
    </w:p>
    <w:p w:rsidR="00345883" w:rsidRPr="00A80D1C" w:rsidRDefault="00345883" w:rsidP="00A80D1C">
      <w:pPr>
        <w:rPr>
          <w:rFonts w:ascii="Calibri" w:hAnsi="Calibri"/>
          <w:sz w:val="24"/>
        </w:rPr>
      </w:pPr>
      <w:r w:rsidRPr="00A80D1C">
        <w:rPr>
          <w:rFonts w:ascii="Calibri" w:hAnsi="Calibri"/>
          <w:sz w:val="24"/>
        </w:rPr>
        <w:t xml:space="preserve">01_013_0107_1_1 - Assistance with Self-Care Activities - Standard - Saturday </w:t>
      </w:r>
    </w:p>
    <w:tbl>
      <w:tblPr>
        <w:tblStyle w:val="TableGridLight1"/>
        <w:tblW w:w="5000" w:type="pct"/>
        <w:tblLook w:val="04A0" w:firstRow="1" w:lastRow="0" w:firstColumn="1" w:lastColumn="0" w:noHBand="0" w:noVBand="1"/>
        <w:tblCaption w:val="Support Line Item"/>
        <w:tblDescription w:val="This table gives a breakdown of the Line Item components."/>
      </w:tblPr>
      <w:tblGrid>
        <w:gridCol w:w="1804"/>
        <w:gridCol w:w="1803"/>
        <w:gridCol w:w="1803"/>
        <w:gridCol w:w="1803"/>
        <w:gridCol w:w="1803"/>
      </w:tblGrid>
      <w:tr w:rsidR="00A80D1C" w:rsidRPr="00A80D1C" w:rsidTr="005E3DEF">
        <w:trPr>
          <w:tblHeader/>
        </w:trPr>
        <w:tc>
          <w:tcPr>
            <w:tcW w:w="1000" w:type="pct"/>
          </w:tcPr>
          <w:p w:rsidR="00345883" w:rsidRPr="00A80D1C" w:rsidRDefault="00345883" w:rsidP="00A80D1C">
            <w:pPr>
              <w:rPr>
                <w:rFonts w:ascii="Calibri" w:hAnsi="Calibri"/>
                <w:sz w:val="24"/>
              </w:rPr>
            </w:pPr>
            <w:r w:rsidRPr="00A80D1C">
              <w:rPr>
                <w:rFonts w:ascii="Calibri" w:hAnsi="Calibri"/>
                <w:sz w:val="24"/>
              </w:rPr>
              <w:t>Support</w:t>
            </w:r>
          </w:p>
          <w:p w:rsidR="00345883" w:rsidRPr="00A80D1C" w:rsidRDefault="00345883" w:rsidP="00A80D1C">
            <w:pPr>
              <w:rPr>
                <w:rFonts w:ascii="Calibri" w:hAnsi="Calibri"/>
                <w:sz w:val="24"/>
              </w:rPr>
            </w:pPr>
            <w:r w:rsidRPr="00A80D1C">
              <w:rPr>
                <w:rFonts w:ascii="Calibri" w:hAnsi="Calibri"/>
                <w:sz w:val="24"/>
              </w:rPr>
              <w:t>Category</w:t>
            </w:r>
          </w:p>
        </w:tc>
        <w:tc>
          <w:tcPr>
            <w:tcW w:w="1000" w:type="pct"/>
          </w:tcPr>
          <w:p w:rsidR="00345883" w:rsidRPr="00A80D1C" w:rsidRDefault="00345883" w:rsidP="00A80D1C">
            <w:pPr>
              <w:rPr>
                <w:rFonts w:ascii="Calibri" w:hAnsi="Calibri"/>
                <w:sz w:val="24"/>
              </w:rPr>
            </w:pPr>
            <w:r w:rsidRPr="00A80D1C">
              <w:rPr>
                <w:rFonts w:ascii="Calibri" w:hAnsi="Calibri"/>
                <w:sz w:val="24"/>
              </w:rPr>
              <w:t>Sequence</w:t>
            </w:r>
          </w:p>
          <w:p w:rsidR="00345883" w:rsidRPr="00A80D1C" w:rsidRDefault="00345883" w:rsidP="00A80D1C">
            <w:pPr>
              <w:rPr>
                <w:rFonts w:ascii="Calibri" w:hAnsi="Calibri"/>
                <w:sz w:val="24"/>
              </w:rPr>
            </w:pPr>
            <w:r w:rsidRPr="00A80D1C">
              <w:rPr>
                <w:rFonts w:ascii="Calibri" w:hAnsi="Calibri"/>
                <w:sz w:val="24"/>
              </w:rPr>
              <w:t>Number</w:t>
            </w:r>
          </w:p>
        </w:tc>
        <w:tc>
          <w:tcPr>
            <w:tcW w:w="1000" w:type="pct"/>
          </w:tcPr>
          <w:p w:rsidR="00345883" w:rsidRPr="00A80D1C" w:rsidRDefault="00345883" w:rsidP="00A80D1C">
            <w:pPr>
              <w:rPr>
                <w:rFonts w:ascii="Calibri" w:hAnsi="Calibri"/>
                <w:sz w:val="24"/>
              </w:rPr>
            </w:pPr>
            <w:r w:rsidRPr="00A80D1C">
              <w:rPr>
                <w:rFonts w:ascii="Calibri" w:hAnsi="Calibri"/>
                <w:sz w:val="24"/>
              </w:rPr>
              <w:t>Registration</w:t>
            </w:r>
          </w:p>
          <w:p w:rsidR="00345883" w:rsidRPr="00A80D1C" w:rsidRDefault="00345883" w:rsidP="00A80D1C">
            <w:pPr>
              <w:rPr>
                <w:rFonts w:ascii="Calibri" w:hAnsi="Calibri"/>
                <w:sz w:val="24"/>
              </w:rPr>
            </w:pPr>
            <w:r w:rsidRPr="00A80D1C">
              <w:rPr>
                <w:rFonts w:ascii="Calibri" w:hAnsi="Calibri"/>
                <w:sz w:val="24"/>
              </w:rPr>
              <w:t>Group</w:t>
            </w:r>
          </w:p>
        </w:tc>
        <w:tc>
          <w:tcPr>
            <w:tcW w:w="1000" w:type="pct"/>
          </w:tcPr>
          <w:p w:rsidR="00345883" w:rsidRPr="00A80D1C" w:rsidRDefault="00345883" w:rsidP="00A80D1C">
            <w:pPr>
              <w:rPr>
                <w:rFonts w:ascii="Calibri" w:hAnsi="Calibri"/>
                <w:sz w:val="24"/>
              </w:rPr>
            </w:pPr>
            <w:r w:rsidRPr="00A80D1C">
              <w:rPr>
                <w:rFonts w:ascii="Calibri" w:hAnsi="Calibri"/>
                <w:sz w:val="24"/>
              </w:rPr>
              <w:t>Outcome</w:t>
            </w:r>
          </w:p>
          <w:p w:rsidR="00345883" w:rsidRPr="00A80D1C" w:rsidRDefault="00345883" w:rsidP="00A80D1C">
            <w:pPr>
              <w:rPr>
                <w:rFonts w:ascii="Calibri" w:hAnsi="Calibri"/>
                <w:sz w:val="24"/>
              </w:rPr>
            </w:pPr>
            <w:r w:rsidRPr="00A80D1C">
              <w:rPr>
                <w:rFonts w:ascii="Calibri" w:hAnsi="Calibri"/>
                <w:sz w:val="24"/>
              </w:rPr>
              <w:t>Domain</w:t>
            </w:r>
          </w:p>
        </w:tc>
        <w:tc>
          <w:tcPr>
            <w:tcW w:w="1000" w:type="pct"/>
          </w:tcPr>
          <w:p w:rsidR="00345883" w:rsidRPr="00A80D1C" w:rsidRDefault="00345883" w:rsidP="00A80D1C">
            <w:pPr>
              <w:rPr>
                <w:rFonts w:ascii="Calibri" w:hAnsi="Calibri"/>
                <w:sz w:val="24"/>
              </w:rPr>
            </w:pPr>
            <w:r w:rsidRPr="00A80D1C">
              <w:rPr>
                <w:rFonts w:ascii="Calibri" w:hAnsi="Calibri"/>
                <w:sz w:val="24"/>
              </w:rPr>
              <w:t>Support Purpose</w:t>
            </w:r>
          </w:p>
        </w:tc>
      </w:tr>
      <w:tr w:rsidR="00345883" w:rsidRPr="00A80D1C" w:rsidTr="005E3DEF">
        <w:tc>
          <w:tcPr>
            <w:tcW w:w="1000" w:type="pct"/>
          </w:tcPr>
          <w:p w:rsidR="00345883" w:rsidRPr="00A80D1C" w:rsidRDefault="00345883" w:rsidP="00A80D1C">
            <w:pPr>
              <w:rPr>
                <w:rFonts w:ascii="Calibri" w:hAnsi="Calibri"/>
                <w:sz w:val="24"/>
              </w:rPr>
            </w:pPr>
            <w:r w:rsidRPr="00A80D1C">
              <w:rPr>
                <w:rFonts w:ascii="Calibri" w:hAnsi="Calibri"/>
                <w:sz w:val="24"/>
              </w:rPr>
              <w:t>01</w:t>
            </w:r>
          </w:p>
        </w:tc>
        <w:tc>
          <w:tcPr>
            <w:tcW w:w="1000" w:type="pct"/>
          </w:tcPr>
          <w:p w:rsidR="00345883" w:rsidRPr="00A80D1C" w:rsidRDefault="00345883" w:rsidP="00A80D1C">
            <w:pPr>
              <w:rPr>
                <w:rFonts w:ascii="Calibri" w:hAnsi="Calibri"/>
                <w:sz w:val="24"/>
              </w:rPr>
            </w:pPr>
            <w:r w:rsidRPr="00A80D1C">
              <w:rPr>
                <w:rFonts w:ascii="Calibri" w:hAnsi="Calibri"/>
                <w:sz w:val="24"/>
              </w:rPr>
              <w:t>013</w:t>
            </w:r>
          </w:p>
        </w:tc>
        <w:tc>
          <w:tcPr>
            <w:tcW w:w="1000" w:type="pct"/>
          </w:tcPr>
          <w:p w:rsidR="00345883" w:rsidRPr="00A80D1C" w:rsidRDefault="00345883" w:rsidP="00A80D1C">
            <w:pPr>
              <w:rPr>
                <w:rFonts w:ascii="Calibri" w:hAnsi="Calibri"/>
                <w:sz w:val="24"/>
              </w:rPr>
            </w:pPr>
            <w:r w:rsidRPr="00A80D1C">
              <w:rPr>
                <w:rFonts w:ascii="Calibri" w:hAnsi="Calibri"/>
                <w:sz w:val="24"/>
              </w:rPr>
              <w:t>0107</w:t>
            </w:r>
          </w:p>
        </w:tc>
        <w:tc>
          <w:tcPr>
            <w:tcW w:w="1000" w:type="pct"/>
          </w:tcPr>
          <w:p w:rsidR="00345883" w:rsidRPr="00A80D1C" w:rsidRDefault="00345883" w:rsidP="00A80D1C">
            <w:pPr>
              <w:rPr>
                <w:rFonts w:ascii="Calibri" w:hAnsi="Calibri"/>
                <w:sz w:val="24"/>
              </w:rPr>
            </w:pPr>
            <w:r w:rsidRPr="00A80D1C">
              <w:rPr>
                <w:rFonts w:ascii="Calibri" w:hAnsi="Calibri"/>
                <w:sz w:val="24"/>
              </w:rPr>
              <w:t>1</w:t>
            </w:r>
          </w:p>
        </w:tc>
        <w:tc>
          <w:tcPr>
            <w:tcW w:w="1000" w:type="pct"/>
          </w:tcPr>
          <w:p w:rsidR="00345883" w:rsidRPr="00A80D1C" w:rsidRDefault="00345883" w:rsidP="00A80D1C">
            <w:pPr>
              <w:rPr>
                <w:rFonts w:ascii="Calibri" w:hAnsi="Calibri"/>
                <w:sz w:val="24"/>
              </w:rPr>
            </w:pPr>
            <w:r w:rsidRPr="00A80D1C">
              <w:rPr>
                <w:rFonts w:ascii="Calibri" w:hAnsi="Calibri"/>
                <w:sz w:val="24"/>
              </w:rPr>
              <w:t>1</w:t>
            </w:r>
          </w:p>
        </w:tc>
      </w:tr>
    </w:tbl>
    <w:p w:rsidR="00345883" w:rsidRPr="00A80D1C" w:rsidRDefault="00345883" w:rsidP="00A80D1C">
      <w:pPr>
        <w:rPr>
          <w:rFonts w:ascii="Calibri" w:hAnsi="Calibri"/>
          <w:sz w:val="24"/>
        </w:rPr>
      </w:pPr>
      <w:bookmarkStart w:id="1" w:name="_Toc536784146"/>
      <w:bookmarkStart w:id="2" w:name="_Toc504137189"/>
      <w:bookmarkStart w:id="3" w:name="_Toc504114421"/>
      <w:bookmarkStart w:id="4" w:name="_Toc12633405"/>
    </w:p>
    <w:p w:rsidR="00345883" w:rsidRPr="00A80D1C" w:rsidRDefault="00345883" w:rsidP="004448CB">
      <w:pPr>
        <w:pStyle w:val="Heading2"/>
      </w:pPr>
      <w:r w:rsidRPr="00A80D1C">
        <w:t>Units of Measure</w:t>
      </w:r>
      <w:bookmarkEnd w:id="1"/>
      <w:bookmarkEnd w:id="2"/>
      <w:bookmarkEnd w:id="3"/>
      <w:bookmarkEnd w:id="4"/>
    </w:p>
    <w:p w:rsidR="00345883" w:rsidRPr="00A80D1C" w:rsidRDefault="00345883" w:rsidP="00A80D1C">
      <w:pPr>
        <w:rPr>
          <w:rFonts w:ascii="Calibri" w:hAnsi="Calibri"/>
          <w:sz w:val="24"/>
        </w:rPr>
      </w:pPr>
      <w:r w:rsidRPr="00A80D1C">
        <w:rPr>
          <w:rFonts w:ascii="Calibri" w:hAnsi="Calibri"/>
          <w:sz w:val="24"/>
        </w:rPr>
        <w:t>The NDIS payment system includes units of measure to suit each support item as follows:</w:t>
      </w:r>
    </w:p>
    <w:p w:rsidR="00E12319" w:rsidRPr="00A80D1C" w:rsidRDefault="00E12319" w:rsidP="00A80D1C">
      <w:pPr>
        <w:rPr>
          <w:rFonts w:ascii="Calibri" w:hAnsi="Calibri"/>
          <w:sz w:val="24"/>
        </w:rPr>
      </w:pPr>
      <w:r w:rsidRPr="00A80D1C">
        <w:rPr>
          <w:rFonts w:ascii="Calibri" w:hAnsi="Calibri"/>
          <w:sz w:val="24"/>
        </w:rPr>
        <w:t>Each, Hour, Daily</w:t>
      </w:r>
      <w:r>
        <w:rPr>
          <w:rFonts w:ascii="Calibri" w:hAnsi="Calibri"/>
          <w:sz w:val="24"/>
        </w:rPr>
        <w:t xml:space="preserve">, </w:t>
      </w:r>
      <w:r w:rsidRPr="00A80D1C">
        <w:rPr>
          <w:rFonts w:ascii="Calibri" w:hAnsi="Calibri"/>
          <w:sz w:val="24"/>
        </w:rPr>
        <w:t>Week, Month, Annual</w:t>
      </w:r>
      <w:r>
        <w:rPr>
          <w:rFonts w:ascii="Calibri" w:hAnsi="Calibri"/>
          <w:sz w:val="24"/>
        </w:rPr>
        <w:t>.</w:t>
      </w:r>
    </w:p>
    <w:p w:rsidR="00345883" w:rsidRPr="00A80D1C" w:rsidRDefault="00345883" w:rsidP="00A80D1C">
      <w:pPr>
        <w:rPr>
          <w:rFonts w:ascii="Calibri" w:hAnsi="Calibri"/>
          <w:sz w:val="24"/>
        </w:rPr>
      </w:pPr>
    </w:p>
    <w:sectPr w:rsidR="00345883" w:rsidRPr="00A80D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70971"/>
    <w:multiLevelType w:val="hybridMultilevel"/>
    <w:tmpl w:val="E696ABB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15:restartNumberingAfterBreak="0">
    <w:nsid w:val="157306A9"/>
    <w:multiLevelType w:val="hybridMultilevel"/>
    <w:tmpl w:val="58EA5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DD294D"/>
    <w:multiLevelType w:val="hybridMultilevel"/>
    <w:tmpl w:val="75C20BF6"/>
    <w:lvl w:ilvl="0" w:tplc="6EF64576">
      <w:start w:val="1"/>
      <w:numFmt w:val="bulle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89313CE"/>
    <w:multiLevelType w:val="multilevel"/>
    <w:tmpl w:val="DC345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393656"/>
    <w:multiLevelType w:val="hybridMultilevel"/>
    <w:tmpl w:val="1FDEDEB6"/>
    <w:lvl w:ilvl="0" w:tplc="CEDA091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2721477"/>
    <w:multiLevelType w:val="hybridMultilevel"/>
    <w:tmpl w:val="627A5A7C"/>
    <w:lvl w:ilvl="0" w:tplc="F98ADD04">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4C9064B"/>
    <w:multiLevelType w:val="multilevel"/>
    <w:tmpl w:val="340039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EyNLA0tjA3MDU0NzRW0lEKTi0uzszPAykwrAUAXYCN0ywAAAA="/>
  </w:docVars>
  <w:rsids>
    <w:rsidRoot w:val="001179AA"/>
    <w:rsid w:val="000A1795"/>
    <w:rsid w:val="000A17AA"/>
    <w:rsid w:val="000C36A4"/>
    <w:rsid w:val="000D743A"/>
    <w:rsid w:val="000F7EBE"/>
    <w:rsid w:val="001179AA"/>
    <w:rsid w:val="00194CE6"/>
    <w:rsid w:val="0025434A"/>
    <w:rsid w:val="002C1D6E"/>
    <w:rsid w:val="002E0462"/>
    <w:rsid w:val="002E5DEB"/>
    <w:rsid w:val="00305912"/>
    <w:rsid w:val="0031068E"/>
    <w:rsid w:val="00314789"/>
    <w:rsid w:val="00345883"/>
    <w:rsid w:val="00362693"/>
    <w:rsid w:val="003B51E3"/>
    <w:rsid w:val="003D78F7"/>
    <w:rsid w:val="003E58CE"/>
    <w:rsid w:val="003F2B42"/>
    <w:rsid w:val="00441F02"/>
    <w:rsid w:val="004448CB"/>
    <w:rsid w:val="0045642A"/>
    <w:rsid w:val="0046062B"/>
    <w:rsid w:val="00474016"/>
    <w:rsid w:val="004917F7"/>
    <w:rsid w:val="00513117"/>
    <w:rsid w:val="005A6221"/>
    <w:rsid w:val="005B459D"/>
    <w:rsid w:val="005F2072"/>
    <w:rsid w:val="005F5A90"/>
    <w:rsid w:val="00601A47"/>
    <w:rsid w:val="00620C8C"/>
    <w:rsid w:val="00632A9C"/>
    <w:rsid w:val="0066595F"/>
    <w:rsid w:val="006945C2"/>
    <w:rsid w:val="006B0D0E"/>
    <w:rsid w:val="00714352"/>
    <w:rsid w:val="0073608A"/>
    <w:rsid w:val="007416CE"/>
    <w:rsid w:val="0078221A"/>
    <w:rsid w:val="007E64A1"/>
    <w:rsid w:val="00836941"/>
    <w:rsid w:val="00872D9E"/>
    <w:rsid w:val="00876901"/>
    <w:rsid w:val="008A62BD"/>
    <w:rsid w:val="008C00E3"/>
    <w:rsid w:val="008F15BD"/>
    <w:rsid w:val="00953120"/>
    <w:rsid w:val="00986458"/>
    <w:rsid w:val="009962AA"/>
    <w:rsid w:val="009C3CA8"/>
    <w:rsid w:val="00A80D1C"/>
    <w:rsid w:val="00A8544B"/>
    <w:rsid w:val="00B309F8"/>
    <w:rsid w:val="00B6117A"/>
    <w:rsid w:val="00B705B4"/>
    <w:rsid w:val="00C16C04"/>
    <w:rsid w:val="00C428B7"/>
    <w:rsid w:val="00C63A1F"/>
    <w:rsid w:val="00CC216A"/>
    <w:rsid w:val="00CC7F58"/>
    <w:rsid w:val="00D10F82"/>
    <w:rsid w:val="00D2769E"/>
    <w:rsid w:val="00D61FC9"/>
    <w:rsid w:val="00DA32E9"/>
    <w:rsid w:val="00DC46C9"/>
    <w:rsid w:val="00DF6C31"/>
    <w:rsid w:val="00E12319"/>
    <w:rsid w:val="00E20FE0"/>
    <w:rsid w:val="00E313C8"/>
    <w:rsid w:val="00F07AFD"/>
    <w:rsid w:val="00F1405E"/>
    <w:rsid w:val="00F275C3"/>
    <w:rsid w:val="00F42DD6"/>
    <w:rsid w:val="00F46F32"/>
    <w:rsid w:val="00FA1CC1"/>
    <w:rsid w:val="00FD2F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6F2F69-8743-4743-B4BD-69C98F691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80D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179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79AA"/>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1179AA"/>
    <w:rPr>
      <w:color w:val="0563C1" w:themeColor="hyperlink"/>
      <w:u w:val="single"/>
    </w:rPr>
  </w:style>
  <w:style w:type="paragraph" w:styleId="ListParagraph">
    <w:name w:val="List Paragraph"/>
    <w:aliases w:val="Recommendation,List Paragraph1,List Paragraph11,L,Bullet point,NFP GP Bulleted List,2nd Bullet point,#List Paragraph,Figure_name,Bullet- First level,Listenabsatz1,Number,List Paragraph111,F5 List Paragraph,Dot pt,CV text,Table text,列,列出段"/>
    <w:basedOn w:val="Normal"/>
    <w:link w:val="ListParagraphChar"/>
    <w:uiPriority w:val="34"/>
    <w:qFormat/>
    <w:rsid w:val="0073608A"/>
    <w:pPr>
      <w:spacing w:line="320" w:lineRule="atLeast"/>
      <w:ind w:left="720"/>
      <w:contextualSpacing/>
    </w:pPr>
  </w:style>
  <w:style w:type="character" w:customStyle="1" w:styleId="ListParagraphChar">
    <w:name w:val="List Paragraph Char"/>
    <w:aliases w:val="Recommendation Char,List Paragraph1 Char,List Paragraph11 Char,L Char,Bullet point Char,NFP GP Bulleted List Char,2nd Bullet point Char,#List Paragraph Char,Figure_name Char,Bullet- First level Char,Listenabsatz1 Char,Number Char"/>
    <w:link w:val="ListParagraph"/>
    <w:uiPriority w:val="34"/>
    <w:qFormat/>
    <w:locked/>
    <w:rsid w:val="0073608A"/>
  </w:style>
  <w:style w:type="table" w:customStyle="1" w:styleId="TableGridLight1">
    <w:name w:val="Table Grid Light1"/>
    <w:basedOn w:val="TableNormal"/>
    <w:next w:val="TableGridLight"/>
    <w:uiPriority w:val="40"/>
    <w:rsid w:val="00345883"/>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34588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A80D1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876308">
      <w:bodyDiv w:val="1"/>
      <w:marLeft w:val="0"/>
      <w:marRight w:val="0"/>
      <w:marTop w:val="0"/>
      <w:marBottom w:val="0"/>
      <w:divBdr>
        <w:top w:val="none" w:sz="0" w:space="0" w:color="auto"/>
        <w:left w:val="none" w:sz="0" w:space="0" w:color="auto"/>
        <w:bottom w:val="none" w:sz="0" w:space="0" w:color="auto"/>
        <w:right w:val="none" w:sz="0" w:space="0" w:color="auto"/>
      </w:divBdr>
    </w:div>
    <w:div w:id="194021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782</Words>
  <Characters>4458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Ramona.Mandy</dc:creator>
  <cp:keywords/>
  <dc:description/>
  <cp:lastModifiedBy>Premier.Tech</cp:lastModifiedBy>
  <cp:revision>2</cp:revision>
  <dcterms:created xsi:type="dcterms:W3CDTF">2020-05-17T17:43:00Z</dcterms:created>
  <dcterms:modified xsi:type="dcterms:W3CDTF">2020-05-17T17:43:00Z</dcterms:modified>
</cp:coreProperties>
</file>