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3C" w:rsidRDefault="0009393C" w:rsidP="0009393C">
      <w:pPr>
        <w:pStyle w:val="Heading2"/>
      </w:pPr>
      <w:r>
        <w:t>Slide 1</w:t>
      </w:r>
    </w:p>
    <w:p w:rsidR="0009393C" w:rsidRPr="0009393C" w:rsidRDefault="0009393C" w:rsidP="0009393C">
      <w:pPr>
        <w:rPr>
          <w:lang w:val="en-AU"/>
        </w:rPr>
      </w:pPr>
      <w:r w:rsidRPr="0009393C">
        <w:rPr>
          <w:bCs/>
          <w:lang w:val="en-AU"/>
        </w:rPr>
        <w:t>Strengthening links between research, data and advocacy to transform lives</w:t>
      </w:r>
    </w:p>
    <w:p w:rsidR="0009393C" w:rsidRPr="0009393C" w:rsidRDefault="0009393C" w:rsidP="0009393C">
      <w:pPr>
        <w:rPr>
          <w:lang w:val="en-AU"/>
        </w:rPr>
      </w:pPr>
      <w:r w:rsidRPr="0009393C">
        <w:rPr>
          <w:bCs/>
          <w:lang w:val="en-US"/>
        </w:rPr>
        <w:t>Presentation to the Australian Federation of Disability Organisations Annual General Meeting</w:t>
      </w:r>
    </w:p>
    <w:p w:rsidR="0009393C" w:rsidRPr="0009393C" w:rsidRDefault="0009393C" w:rsidP="0009393C">
      <w:pPr>
        <w:rPr>
          <w:lang w:val="en-AU"/>
        </w:rPr>
      </w:pPr>
      <w:r w:rsidRPr="0009393C">
        <w:rPr>
          <w:bCs/>
          <w:lang w:val="en-AU"/>
        </w:rPr>
        <w:t>Professor Bruce Bonyhady AM</w:t>
      </w:r>
    </w:p>
    <w:p w:rsidR="0009393C" w:rsidRPr="0009393C" w:rsidRDefault="0009393C" w:rsidP="0009393C">
      <w:pPr>
        <w:rPr>
          <w:lang w:val="en-AU"/>
        </w:rPr>
      </w:pPr>
      <w:r w:rsidRPr="0009393C">
        <w:rPr>
          <w:bCs/>
          <w:lang w:val="en-AU"/>
        </w:rPr>
        <w:t>Executive Chair and Director, Melbourne Disability Institute</w:t>
      </w:r>
    </w:p>
    <w:p w:rsidR="0009393C" w:rsidRPr="0009393C" w:rsidRDefault="0009393C" w:rsidP="0009393C">
      <w:pPr>
        <w:rPr>
          <w:lang w:val="en-AU"/>
        </w:rPr>
      </w:pPr>
      <w:r w:rsidRPr="0009393C">
        <w:rPr>
          <w:bCs/>
          <w:lang w:val="en-AU"/>
        </w:rPr>
        <w:t>19 October, 2020</w:t>
      </w:r>
    </w:p>
    <w:p w:rsidR="00771B8A" w:rsidRDefault="0009393C" w:rsidP="0009393C">
      <w:pPr>
        <w:pStyle w:val="Heading2"/>
      </w:pPr>
      <w:r>
        <w:t>Slide 2</w:t>
      </w:r>
    </w:p>
    <w:p w:rsidR="0009393C" w:rsidRDefault="0009393C" w:rsidP="0009393C">
      <w:pPr>
        <w:pStyle w:val="Heading3"/>
      </w:pPr>
      <w:r>
        <w:t>Overview</w:t>
      </w:r>
    </w:p>
    <w:p w:rsidR="0009393C" w:rsidRPr="0009393C" w:rsidRDefault="0009393C" w:rsidP="0009393C">
      <w:pPr>
        <w:rPr>
          <w:lang w:val="en-AU"/>
        </w:rPr>
      </w:pPr>
      <w:r w:rsidRPr="0009393C">
        <w:rPr>
          <w:lang w:val="en-AU"/>
        </w:rPr>
        <w:t>The big forces shaping disability policy and practice and so the lives of people with disability in Australia for the next decade will be:</w:t>
      </w:r>
    </w:p>
    <w:p w:rsidR="00000000" w:rsidRPr="0009393C" w:rsidRDefault="00501137" w:rsidP="0009393C">
      <w:pPr>
        <w:numPr>
          <w:ilvl w:val="0"/>
          <w:numId w:val="1"/>
        </w:numPr>
        <w:rPr>
          <w:lang w:val="en-AU"/>
        </w:rPr>
      </w:pPr>
      <w:r w:rsidRPr="0009393C">
        <w:rPr>
          <w:lang w:val="en-AU"/>
        </w:rPr>
        <w:t>National Disabili</w:t>
      </w:r>
      <w:r w:rsidRPr="0009393C">
        <w:rPr>
          <w:lang w:val="en-AU"/>
        </w:rPr>
        <w:t>ty Insurance Scheme and Agency</w:t>
      </w:r>
    </w:p>
    <w:p w:rsidR="00000000" w:rsidRPr="0009393C" w:rsidRDefault="00501137" w:rsidP="0009393C">
      <w:pPr>
        <w:numPr>
          <w:ilvl w:val="0"/>
          <w:numId w:val="1"/>
        </w:numPr>
        <w:rPr>
          <w:lang w:val="en-AU"/>
        </w:rPr>
      </w:pPr>
      <w:r w:rsidRPr="0009393C">
        <w:rPr>
          <w:lang w:val="en-AU"/>
        </w:rPr>
        <w:t>National Quality and Safeguards Commission</w:t>
      </w:r>
    </w:p>
    <w:p w:rsidR="00000000" w:rsidRPr="0009393C" w:rsidRDefault="00501137" w:rsidP="0009393C">
      <w:pPr>
        <w:numPr>
          <w:ilvl w:val="0"/>
          <w:numId w:val="1"/>
        </w:numPr>
        <w:rPr>
          <w:lang w:val="en-AU"/>
        </w:rPr>
      </w:pPr>
      <w:r w:rsidRPr="0009393C">
        <w:rPr>
          <w:lang w:val="en-AU"/>
        </w:rPr>
        <w:t>National Disability Strategy</w:t>
      </w:r>
    </w:p>
    <w:p w:rsidR="00000000" w:rsidRPr="0009393C" w:rsidRDefault="00501137" w:rsidP="0009393C">
      <w:pPr>
        <w:numPr>
          <w:ilvl w:val="0"/>
          <w:numId w:val="1"/>
        </w:numPr>
        <w:rPr>
          <w:lang w:val="en-AU"/>
        </w:rPr>
      </w:pPr>
      <w:r w:rsidRPr="0009393C">
        <w:rPr>
          <w:lang w:val="en-AU"/>
        </w:rPr>
        <w:t>National Disability Data Asset</w:t>
      </w:r>
    </w:p>
    <w:p w:rsidR="00000000" w:rsidRPr="0009393C" w:rsidRDefault="00501137" w:rsidP="0009393C">
      <w:pPr>
        <w:numPr>
          <w:ilvl w:val="0"/>
          <w:numId w:val="1"/>
        </w:numPr>
        <w:rPr>
          <w:lang w:val="en-AU"/>
        </w:rPr>
      </w:pPr>
      <w:r w:rsidRPr="0009393C">
        <w:rPr>
          <w:lang w:val="en-AU"/>
        </w:rPr>
        <w:t>National Disability Research Partnership</w:t>
      </w:r>
    </w:p>
    <w:p w:rsidR="00000000" w:rsidRPr="0009393C" w:rsidRDefault="00501137" w:rsidP="0009393C">
      <w:pPr>
        <w:numPr>
          <w:ilvl w:val="0"/>
          <w:numId w:val="1"/>
        </w:numPr>
        <w:rPr>
          <w:lang w:val="en-AU"/>
        </w:rPr>
      </w:pPr>
      <w:r w:rsidRPr="0009393C">
        <w:rPr>
          <w:lang w:val="en-AU"/>
        </w:rPr>
        <w:t>Disabil</w:t>
      </w:r>
      <w:r w:rsidRPr="0009393C">
        <w:rPr>
          <w:lang w:val="en-AU"/>
        </w:rPr>
        <w:t>ity Royal Commission</w:t>
      </w:r>
    </w:p>
    <w:p w:rsidR="0009393C" w:rsidRDefault="0009393C" w:rsidP="0009393C">
      <w:pPr>
        <w:rPr>
          <w:lang w:val="en-AU"/>
        </w:rPr>
      </w:pPr>
      <w:r w:rsidRPr="0009393C">
        <w:rPr>
          <w:lang w:val="en-AU"/>
        </w:rPr>
        <w:t>Now, data, evidence and research has the potential to make advocacy much more effective and to transform the lives of people with disability, their families and carers. This will require new skills, new thinking and new collaborations and partnerships built on a shared vision and purpose. At MDI we are working to be a key contributor to this new world</w:t>
      </w:r>
      <w:r>
        <w:rPr>
          <w:lang w:val="en-AU"/>
        </w:rPr>
        <w:t>.</w:t>
      </w:r>
    </w:p>
    <w:p w:rsidR="00501137" w:rsidRDefault="00501137">
      <w:pPr>
        <w:spacing w:before="0" w:after="160" w:line="259" w:lineRule="auto"/>
        <w:rPr>
          <w:rFonts w:eastAsiaTheme="majorEastAsia" w:cstheme="majorBidi"/>
          <w:b/>
          <w:bCs/>
          <w:color w:val="00767F"/>
          <w:sz w:val="28"/>
          <w:szCs w:val="26"/>
          <w:lang w:val="en-AU" w:eastAsia="en-AU"/>
        </w:rPr>
      </w:pPr>
      <w:r>
        <w:br w:type="page"/>
      </w:r>
    </w:p>
    <w:p w:rsidR="0009393C" w:rsidRDefault="0009393C" w:rsidP="0009393C">
      <w:pPr>
        <w:pStyle w:val="Heading2"/>
      </w:pPr>
      <w:r>
        <w:lastRenderedPageBreak/>
        <w:t>Slide 3</w:t>
      </w:r>
    </w:p>
    <w:p w:rsidR="0009393C" w:rsidRDefault="0009393C" w:rsidP="0009393C">
      <w:pPr>
        <w:pStyle w:val="Heading3"/>
      </w:pPr>
      <w:r>
        <w:t>NDIS</w:t>
      </w:r>
    </w:p>
    <w:p w:rsidR="0009393C" w:rsidRPr="0009393C" w:rsidRDefault="0009393C" w:rsidP="0009393C">
      <w:pPr>
        <w:rPr>
          <w:lang w:val="en-AU"/>
        </w:rPr>
      </w:pPr>
      <w:r w:rsidRPr="0009393C">
        <w:rPr>
          <w:lang w:val="en-AU"/>
        </w:rPr>
        <w:t>Building the best whole of population and longitudinal disability data base in the world. Includes data on</w:t>
      </w:r>
    </w:p>
    <w:p w:rsidR="00000000" w:rsidRPr="0009393C" w:rsidRDefault="00501137" w:rsidP="0009393C">
      <w:pPr>
        <w:numPr>
          <w:ilvl w:val="0"/>
          <w:numId w:val="2"/>
        </w:numPr>
        <w:rPr>
          <w:lang w:val="en-AU"/>
        </w:rPr>
      </w:pPr>
      <w:r w:rsidRPr="0009393C">
        <w:rPr>
          <w:lang w:val="en-AU"/>
        </w:rPr>
        <w:t>Participants based on functional impairments not just medical diagnosis</w:t>
      </w:r>
    </w:p>
    <w:p w:rsidR="00000000" w:rsidRPr="0009393C" w:rsidRDefault="00501137" w:rsidP="0009393C">
      <w:pPr>
        <w:numPr>
          <w:ilvl w:val="0"/>
          <w:numId w:val="2"/>
        </w:numPr>
        <w:rPr>
          <w:lang w:val="en-AU"/>
        </w:rPr>
      </w:pPr>
      <w:r w:rsidRPr="0009393C">
        <w:rPr>
          <w:lang w:val="en-AU"/>
        </w:rPr>
        <w:t>Goals and, hence, aspirations</w:t>
      </w:r>
    </w:p>
    <w:p w:rsidR="00000000" w:rsidRPr="0009393C" w:rsidRDefault="00501137" w:rsidP="0009393C">
      <w:pPr>
        <w:numPr>
          <w:ilvl w:val="0"/>
          <w:numId w:val="2"/>
        </w:numPr>
        <w:rPr>
          <w:lang w:val="en-AU"/>
        </w:rPr>
      </w:pPr>
      <w:r w:rsidRPr="0009393C">
        <w:rPr>
          <w:lang w:val="en-AU"/>
        </w:rPr>
        <w:t>Families and sustainability of informal supports</w:t>
      </w:r>
    </w:p>
    <w:p w:rsidR="00000000" w:rsidRPr="0009393C" w:rsidRDefault="00501137" w:rsidP="0009393C">
      <w:pPr>
        <w:numPr>
          <w:ilvl w:val="0"/>
          <w:numId w:val="2"/>
        </w:numPr>
        <w:rPr>
          <w:lang w:val="en-AU"/>
        </w:rPr>
      </w:pPr>
      <w:r w:rsidRPr="0009393C">
        <w:rPr>
          <w:lang w:val="en-AU"/>
        </w:rPr>
        <w:t>Funding for core supports, capacity building and assistive technology and actual expenditures</w:t>
      </w:r>
    </w:p>
    <w:p w:rsidR="00000000" w:rsidRPr="0009393C" w:rsidRDefault="00501137" w:rsidP="0009393C">
      <w:pPr>
        <w:numPr>
          <w:ilvl w:val="0"/>
          <w:numId w:val="2"/>
        </w:numPr>
        <w:rPr>
          <w:lang w:val="en-AU"/>
        </w:rPr>
      </w:pPr>
      <w:r w:rsidRPr="0009393C">
        <w:rPr>
          <w:lang w:val="en-AU"/>
        </w:rPr>
        <w:t>Disability market, including new and innovative providers, tele-disability and metropolitan,</w:t>
      </w:r>
      <w:r w:rsidRPr="0009393C">
        <w:rPr>
          <w:lang w:val="en-AU"/>
        </w:rPr>
        <w:t xml:space="preserve"> regional, rural and remote supplies (‘market ‘thickness’)</w:t>
      </w:r>
    </w:p>
    <w:p w:rsidR="00000000" w:rsidRDefault="00501137" w:rsidP="0009393C">
      <w:pPr>
        <w:numPr>
          <w:ilvl w:val="1"/>
          <w:numId w:val="2"/>
        </w:numPr>
        <w:rPr>
          <w:lang w:val="en-AU"/>
        </w:rPr>
      </w:pPr>
      <w:r w:rsidRPr="0009393C">
        <w:rPr>
          <w:lang w:val="en-AU"/>
        </w:rPr>
        <w:t xml:space="preserve">Outcomes across 8 key domains (Choice and control; Independent living; Relationships; Health and well-being; Home; </w:t>
      </w:r>
      <w:r w:rsidRPr="0009393C">
        <w:rPr>
          <w:lang w:val="en-AU"/>
        </w:rPr>
        <w:t>Lifelong learning; Work; Social, community and civic participation) plus outcomes for families and carers</w:t>
      </w:r>
    </w:p>
    <w:p w:rsidR="0009393C" w:rsidRDefault="0009393C" w:rsidP="0009393C">
      <w:pPr>
        <w:rPr>
          <w:lang w:val="en-AU"/>
        </w:rPr>
      </w:pPr>
      <w:r w:rsidRPr="0009393C">
        <w:rPr>
          <w:lang w:val="en-AU"/>
        </w:rPr>
        <w:t>This data holds the key to optimising the NDIS so that it delivers on its promise</w:t>
      </w:r>
    </w:p>
    <w:p w:rsidR="00501137" w:rsidRDefault="00501137">
      <w:pPr>
        <w:spacing w:before="0" w:after="160" w:line="259" w:lineRule="auto"/>
        <w:rPr>
          <w:rFonts w:eastAsiaTheme="majorEastAsia" w:cstheme="majorBidi"/>
          <w:b/>
          <w:bCs/>
          <w:color w:val="00767F"/>
          <w:sz w:val="28"/>
          <w:szCs w:val="26"/>
          <w:lang w:val="en-AU" w:eastAsia="en-AU"/>
        </w:rPr>
      </w:pPr>
      <w:r>
        <w:br w:type="page"/>
      </w:r>
    </w:p>
    <w:p w:rsidR="0009393C" w:rsidRDefault="0009393C" w:rsidP="0009393C">
      <w:pPr>
        <w:pStyle w:val="Heading2"/>
      </w:pPr>
      <w:r>
        <w:lastRenderedPageBreak/>
        <w:t>Slide 4</w:t>
      </w:r>
    </w:p>
    <w:p w:rsidR="0009393C" w:rsidRDefault="0009393C" w:rsidP="0009393C">
      <w:pPr>
        <w:pStyle w:val="Heading3"/>
      </w:pPr>
      <w:r>
        <w:t>NDIS Quality &amp; Safeguards Commission</w:t>
      </w:r>
    </w:p>
    <w:p w:rsidR="0009393C" w:rsidRPr="0009393C" w:rsidRDefault="0009393C" w:rsidP="0009393C">
      <w:pPr>
        <w:rPr>
          <w:lang w:val="en-AU"/>
        </w:rPr>
      </w:pPr>
      <w:r w:rsidRPr="0009393C">
        <w:rPr>
          <w:lang w:val="en-AU"/>
        </w:rPr>
        <w:t>An effective personalised quality and safeguards system needs:</w:t>
      </w:r>
    </w:p>
    <w:p w:rsidR="00000000" w:rsidRPr="0009393C" w:rsidRDefault="00501137" w:rsidP="0009393C">
      <w:pPr>
        <w:numPr>
          <w:ilvl w:val="0"/>
          <w:numId w:val="3"/>
        </w:numPr>
        <w:rPr>
          <w:lang w:val="en-AU"/>
        </w:rPr>
      </w:pPr>
      <w:r w:rsidRPr="0009393C">
        <w:rPr>
          <w:lang w:val="en-AU"/>
        </w:rPr>
        <w:t>Developmental safeguards</w:t>
      </w:r>
    </w:p>
    <w:p w:rsidR="00000000" w:rsidRPr="0009393C" w:rsidRDefault="00501137" w:rsidP="0009393C">
      <w:pPr>
        <w:numPr>
          <w:ilvl w:val="0"/>
          <w:numId w:val="3"/>
        </w:numPr>
        <w:rPr>
          <w:lang w:val="en-AU"/>
        </w:rPr>
      </w:pPr>
      <w:r w:rsidRPr="0009393C">
        <w:rPr>
          <w:lang w:val="en-AU"/>
        </w:rPr>
        <w:t>Preventative safeguards</w:t>
      </w:r>
    </w:p>
    <w:p w:rsidR="00000000" w:rsidRPr="0009393C" w:rsidRDefault="00501137" w:rsidP="0009393C">
      <w:pPr>
        <w:numPr>
          <w:ilvl w:val="0"/>
          <w:numId w:val="3"/>
        </w:numPr>
        <w:rPr>
          <w:lang w:val="en-AU"/>
        </w:rPr>
      </w:pPr>
      <w:r w:rsidRPr="0009393C">
        <w:rPr>
          <w:lang w:val="en-AU"/>
        </w:rPr>
        <w:t>Corrective safeguards</w:t>
      </w:r>
    </w:p>
    <w:p w:rsidR="0009393C" w:rsidRPr="0009393C" w:rsidRDefault="0009393C" w:rsidP="0009393C">
      <w:pPr>
        <w:rPr>
          <w:lang w:val="en-AU"/>
        </w:rPr>
      </w:pPr>
      <w:r w:rsidRPr="0009393C">
        <w:rPr>
          <w:lang w:val="en-AU"/>
        </w:rPr>
        <w:t>Safeguard systems also need effective individual and systemic advocacy to protect individuals and meet Australia’s obligations under the UNCPRD</w:t>
      </w:r>
    </w:p>
    <w:p w:rsidR="0009393C" w:rsidRPr="0009393C" w:rsidRDefault="0009393C" w:rsidP="0009393C">
      <w:pPr>
        <w:rPr>
          <w:lang w:val="en-AU"/>
        </w:rPr>
      </w:pPr>
      <w:r w:rsidRPr="0009393C">
        <w:rPr>
          <w:lang w:val="en-AU"/>
        </w:rPr>
        <w:t xml:space="preserve">The regulator must have sufficient staff and skills along with a deep commitment to analysing data (incidence reports, reports of suspected abuse, </w:t>
      </w:r>
      <w:proofErr w:type="spellStart"/>
      <w:r w:rsidRPr="0009393C">
        <w:rPr>
          <w:lang w:val="en-AU"/>
        </w:rPr>
        <w:t>etc</w:t>
      </w:r>
      <w:proofErr w:type="spellEnd"/>
      <w:r w:rsidRPr="0009393C">
        <w:rPr>
          <w:lang w:val="en-AU"/>
        </w:rPr>
        <w:t>) and then use the evidence to target interventions. The regulator must join the dots, because abuse and neglect is often hidden until it is too late. The best regulator pre-NDIS was the NSW Ombudsman who used data highly effectively</w:t>
      </w:r>
    </w:p>
    <w:p w:rsidR="0009393C" w:rsidRPr="0009393C" w:rsidRDefault="0009393C" w:rsidP="0009393C">
      <w:pPr>
        <w:rPr>
          <w:lang w:val="en-AU"/>
        </w:rPr>
      </w:pPr>
      <w:r w:rsidRPr="0009393C">
        <w:rPr>
          <w:lang w:val="en-AU"/>
        </w:rPr>
        <w:t xml:space="preserve">The NQSC must be prepared to use its own-motion powers relying on its analysis and evidence, as well as responding to reports </w:t>
      </w:r>
    </w:p>
    <w:p w:rsidR="0009393C" w:rsidRDefault="0009393C">
      <w:pPr>
        <w:spacing w:before="0" w:after="160" w:line="259" w:lineRule="auto"/>
        <w:rPr>
          <w:rFonts w:eastAsiaTheme="majorEastAsia" w:cstheme="majorBidi"/>
          <w:b/>
          <w:bCs/>
          <w:color w:val="00767F"/>
          <w:sz w:val="28"/>
          <w:szCs w:val="26"/>
          <w:lang w:val="en-AU" w:eastAsia="en-AU"/>
        </w:rPr>
      </w:pPr>
      <w:r>
        <w:br w:type="page"/>
      </w:r>
    </w:p>
    <w:p w:rsidR="0009393C" w:rsidRDefault="0009393C" w:rsidP="0009393C">
      <w:pPr>
        <w:pStyle w:val="Heading2"/>
      </w:pPr>
      <w:r>
        <w:lastRenderedPageBreak/>
        <w:t>Slide 5</w:t>
      </w:r>
    </w:p>
    <w:p w:rsidR="0009393C" w:rsidRDefault="0009393C" w:rsidP="0009393C">
      <w:pPr>
        <w:pStyle w:val="Heading3"/>
      </w:pPr>
      <w:r>
        <w:t>National Disability Strategy</w:t>
      </w:r>
    </w:p>
    <w:p w:rsidR="0009393C" w:rsidRPr="0009393C" w:rsidRDefault="0009393C" w:rsidP="0009393C">
      <w:pPr>
        <w:rPr>
          <w:lang w:val="en-AU"/>
        </w:rPr>
      </w:pPr>
      <w:r w:rsidRPr="0009393C">
        <w:rPr>
          <w:lang w:val="en-AU"/>
        </w:rPr>
        <w:t>Governments are currently consulting on the second National Disability Strategy (NDS), from 2020-2030. The six nominated key areas are:</w:t>
      </w:r>
    </w:p>
    <w:p w:rsidR="00000000" w:rsidRPr="0009393C" w:rsidRDefault="00501137" w:rsidP="0009393C">
      <w:pPr>
        <w:numPr>
          <w:ilvl w:val="0"/>
          <w:numId w:val="4"/>
        </w:numPr>
        <w:rPr>
          <w:lang w:val="en-AU"/>
        </w:rPr>
      </w:pPr>
      <w:r w:rsidRPr="0009393C">
        <w:rPr>
          <w:lang w:val="en-AU"/>
        </w:rPr>
        <w:t>Inclusive and accessi</w:t>
      </w:r>
      <w:r w:rsidRPr="0009393C">
        <w:rPr>
          <w:lang w:val="en-AU"/>
        </w:rPr>
        <w:t>ble communities</w:t>
      </w:r>
    </w:p>
    <w:p w:rsidR="00000000" w:rsidRPr="0009393C" w:rsidRDefault="00501137" w:rsidP="0009393C">
      <w:pPr>
        <w:numPr>
          <w:ilvl w:val="0"/>
          <w:numId w:val="4"/>
        </w:numPr>
        <w:rPr>
          <w:lang w:val="en-AU"/>
        </w:rPr>
      </w:pPr>
      <w:r w:rsidRPr="0009393C">
        <w:rPr>
          <w:lang w:val="en-AU"/>
        </w:rPr>
        <w:t>Rights protection, justice and legislation</w:t>
      </w:r>
    </w:p>
    <w:p w:rsidR="00000000" w:rsidRPr="0009393C" w:rsidRDefault="00501137" w:rsidP="0009393C">
      <w:pPr>
        <w:numPr>
          <w:ilvl w:val="0"/>
          <w:numId w:val="4"/>
        </w:numPr>
        <w:rPr>
          <w:lang w:val="en-AU"/>
        </w:rPr>
      </w:pPr>
      <w:r w:rsidRPr="0009393C">
        <w:rPr>
          <w:lang w:val="en-AU"/>
        </w:rPr>
        <w:t>Economic security</w:t>
      </w:r>
    </w:p>
    <w:p w:rsidR="00000000" w:rsidRPr="0009393C" w:rsidRDefault="00501137" w:rsidP="0009393C">
      <w:pPr>
        <w:numPr>
          <w:ilvl w:val="0"/>
          <w:numId w:val="4"/>
        </w:numPr>
        <w:rPr>
          <w:lang w:val="en-AU"/>
        </w:rPr>
      </w:pPr>
      <w:r w:rsidRPr="0009393C">
        <w:rPr>
          <w:lang w:val="en-AU"/>
        </w:rPr>
        <w:t>Personal and community support</w:t>
      </w:r>
    </w:p>
    <w:p w:rsidR="00000000" w:rsidRPr="0009393C" w:rsidRDefault="00501137" w:rsidP="0009393C">
      <w:pPr>
        <w:numPr>
          <w:ilvl w:val="0"/>
          <w:numId w:val="4"/>
        </w:numPr>
        <w:rPr>
          <w:lang w:val="en-AU"/>
        </w:rPr>
      </w:pPr>
      <w:r w:rsidRPr="0009393C">
        <w:rPr>
          <w:lang w:val="en-AU"/>
        </w:rPr>
        <w:t>Learning and skills</w:t>
      </w:r>
    </w:p>
    <w:p w:rsidR="00000000" w:rsidRPr="0009393C" w:rsidRDefault="00501137" w:rsidP="0009393C">
      <w:pPr>
        <w:numPr>
          <w:ilvl w:val="0"/>
          <w:numId w:val="4"/>
        </w:numPr>
        <w:rPr>
          <w:lang w:val="en-AU"/>
        </w:rPr>
      </w:pPr>
      <w:r w:rsidRPr="0009393C">
        <w:rPr>
          <w:lang w:val="en-AU"/>
        </w:rPr>
        <w:t>Health and well-being</w:t>
      </w:r>
    </w:p>
    <w:p w:rsidR="0009393C" w:rsidRPr="0009393C" w:rsidRDefault="0009393C" w:rsidP="0009393C">
      <w:pPr>
        <w:rPr>
          <w:lang w:val="en-AU"/>
        </w:rPr>
      </w:pPr>
      <w:r w:rsidRPr="0009393C">
        <w:rPr>
          <w:lang w:val="en-AU"/>
        </w:rPr>
        <w:t>The first NDS had inspiring Goals but there were no clear outcomes, accountability framework or responsibilities. Data and research will be critical to the second NDS delivering and Australia in which people with disability are full citizens</w:t>
      </w:r>
    </w:p>
    <w:p w:rsidR="0009393C" w:rsidRDefault="0009393C" w:rsidP="0009393C">
      <w:pPr>
        <w:pStyle w:val="Heading2"/>
      </w:pPr>
      <w:r>
        <w:t>Slide 6</w:t>
      </w:r>
    </w:p>
    <w:p w:rsidR="0009393C" w:rsidRDefault="0009393C" w:rsidP="0009393C">
      <w:pPr>
        <w:pStyle w:val="Heading3"/>
      </w:pPr>
      <w:r w:rsidRPr="0009393C">
        <w:t>The National Disability Data Asset is building a comprehensive view</w:t>
      </w:r>
    </w:p>
    <w:p w:rsidR="0009393C" w:rsidRDefault="0009393C" w:rsidP="0009393C">
      <w:pPr>
        <w:rPr>
          <w:lang w:val="en-AU"/>
        </w:rPr>
      </w:pPr>
      <w:r w:rsidRPr="0009393C">
        <w:rPr>
          <w:lang w:val="en-AU"/>
        </w:rPr>
        <w:t>The NDDA aims to include data for </w:t>
      </w:r>
      <w:r w:rsidRPr="0009393C">
        <w:rPr>
          <w:u w:val="single"/>
          <w:lang w:val="en-AU"/>
        </w:rPr>
        <w:t>all</w:t>
      </w:r>
      <w:r w:rsidRPr="0009393C">
        <w:rPr>
          <w:lang w:val="en-AU"/>
        </w:rPr>
        <w:t xml:space="preserve"> people with disability and </w:t>
      </w:r>
      <w:r w:rsidRPr="0009393C">
        <w:rPr>
          <w:u w:val="single"/>
          <w:lang w:val="en-AU"/>
        </w:rPr>
        <w:t>all</w:t>
      </w:r>
      <w:r w:rsidRPr="0009393C">
        <w:rPr>
          <w:lang w:val="en-AU"/>
        </w:rPr>
        <w:t xml:space="preserve"> government services and related outcomes</w:t>
      </w:r>
      <w:r>
        <w:rPr>
          <w:lang w:val="en-AU"/>
        </w:rPr>
        <w:t>.</w:t>
      </w:r>
    </w:p>
    <w:p w:rsidR="0009393C" w:rsidRDefault="0009393C" w:rsidP="0009393C">
      <w:pPr>
        <w:rPr>
          <w:lang w:val="en-AU"/>
        </w:rPr>
      </w:pPr>
      <w:r w:rsidRPr="0009393C">
        <w:rPr>
          <w:lang w:val="en-AU"/>
        </w:rPr>
        <w:drawing>
          <wp:inline distT="0" distB="0" distL="0" distR="0" wp14:anchorId="57D28D81" wp14:editId="44F076D3">
            <wp:extent cx="5731510" cy="2227580"/>
            <wp:effectExtent l="0" t="0" r="2540" b="1270"/>
            <wp:docPr id="18" name="Picture 17" descr="Diagram which reads: &#10;&#10;Row 1 &quot;National Disability Data Asset = NDIS participants + all other Australians living with disability who do not receive an NDIS package of all ages&quot; &#10;&#10;Row 2 &quot;Service systems &amp; outcomes specific to people with disability + all other Government funded services accessed by people with disability and related outcomes.&quot;&#10;&#10;Rows 1 &amp; 2 then feed into 12 boxes which are the Datasets from across state, territory and Commonweatlh governments. The 12 boxes are titled &quot;Health, Mental Health, Early Childhood Development, Child Protection &amp; Family Support, School Education, Higher Education and VET, Employment Income &amp; Welfare, Housing and Community Infrastructure, Transport, Justice, Aged Care, NDIS Supports.&quot;" titl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Diagram which reads: &#10;&#10;Row 1 &quot;National Disability Data Asset = NDIS participants + all other Australians living with disability who do not receive an NDIS package of all ages&quot; &#10;&#10;Row 2 &quot;Service systems &amp; outcomes specific to people with disability + all other Government funded services accessed by people with disability and related outcomes.&quot;&#10;&#10;Rows 1 &amp; 2 then feed into 12 boxes which are the Datasets from across state, territory and Commonweatlh governments. The 12 boxes are titled &quot;Health, Mental Health, Early Childhood Development, Child Protection &amp; Family Support, School Education, Higher Education and VET, Employment Income &amp; Welfare, Housing and Community Infrastructure, Transport, Justice, Aged Care, NDIS Supports.&quot;" title="Image 2"/>
                    <pic:cNvPicPr>
                      <a:picLocks noChangeAspect="1"/>
                    </pic:cNvPicPr>
                  </pic:nvPicPr>
                  <pic:blipFill>
                    <a:blip r:embed="rId5"/>
                    <a:stretch>
                      <a:fillRect/>
                    </a:stretch>
                  </pic:blipFill>
                  <pic:spPr>
                    <a:xfrm>
                      <a:off x="0" y="0"/>
                      <a:ext cx="5731510" cy="2227580"/>
                    </a:xfrm>
                    <a:prstGeom prst="rect">
                      <a:avLst/>
                    </a:prstGeom>
                  </pic:spPr>
                </pic:pic>
              </a:graphicData>
            </a:graphic>
          </wp:inline>
        </w:drawing>
      </w:r>
    </w:p>
    <w:p w:rsidR="0009393C" w:rsidRDefault="0009393C">
      <w:pPr>
        <w:spacing w:before="0" w:after="160" w:line="259" w:lineRule="auto"/>
        <w:rPr>
          <w:lang w:val="en-AU"/>
        </w:rPr>
      </w:pPr>
      <w:r>
        <w:rPr>
          <w:lang w:val="en-AU"/>
        </w:rPr>
        <w:br w:type="page"/>
      </w:r>
    </w:p>
    <w:p w:rsidR="0009393C" w:rsidRDefault="0009393C" w:rsidP="0009393C">
      <w:pPr>
        <w:pStyle w:val="Heading2"/>
      </w:pPr>
      <w:r>
        <w:lastRenderedPageBreak/>
        <w:t>Slide 7</w:t>
      </w:r>
    </w:p>
    <w:p w:rsidR="0009393C" w:rsidRPr="0009393C" w:rsidRDefault="0009393C" w:rsidP="0009393C">
      <w:pPr>
        <w:pStyle w:val="Heading3"/>
      </w:pPr>
      <w:r w:rsidRPr="0009393C">
        <w:t>National Disability Data Asset – Pilot Phase (to end 2021)</w:t>
      </w:r>
    </w:p>
    <w:p w:rsidR="0009393C" w:rsidRDefault="0009393C" w:rsidP="0009393C">
      <w:pPr>
        <w:rPr>
          <w:lang w:val="en-AU"/>
        </w:rPr>
      </w:pPr>
      <w:r>
        <w:rPr>
          <w:noProof/>
          <w:lang w:val="en-AU" w:eastAsia="en-AU"/>
        </w:rPr>
        <w:drawing>
          <wp:inline distT="0" distB="0" distL="0" distR="0" wp14:anchorId="220CB605" wp14:editId="467C9442">
            <wp:extent cx="5731510" cy="3226435"/>
            <wp:effectExtent l="0" t="0" r="2540" b="0"/>
            <wp:docPr id="1" name="Picture 1" descr="Reads &quot;Intake Data &gt; Integrate Data &gt; Enhance Data &gt; Analyse Data &gt; Share Insights &gt; Take Action.&quot;&#10;&#10;Four boxes which read: &#10;1. Data Improvement: Improve quality and harmonise datasets&#10;2. Secure: Use privacy-preserving techniques to enable safe sharing at scale.&#10;3. Engage: Build and maintain community trust and input into NDDA design&#10;4. Govern: Enable access to advance agreed purposes across governments.&quot;" title="Slide 7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6435"/>
                    </a:xfrm>
                    <a:prstGeom prst="rect">
                      <a:avLst/>
                    </a:prstGeom>
                  </pic:spPr>
                </pic:pic>
              </a:graphicData>
            </a:graphic>
          </wp:inline>
        </w:drawing>
      </w:r>
    </w:p>
    <w:p w:rsidR="00501137" w:rsidRDefault="00501137" w:rsidP="00501137">
      <w:pPr>
        <w:pStyle w:val="Heading2"/>
      </w:pPr>
      <w:r>
        <w:t>Slide 8</w:t>
      </w:r>
    </w:p>
    <w:p w:rsidR="00501137" w:rsidRDefault="00501137" w:rsidP="00501137">
      <w:pPr>
        <w:pStyle w:val="Heading3"/>
      </w:pPr>
      <w:r w:rsidRPr="00501137">
        <w:t>National Disability Research Partnership (NDRP)</w:t>
      </w:r>
    </w:p>
    <w:p w:rsidR="00501137" w:rsidRPr="00501137" w:rsidRDefault="00501137" w:rsidP="00501137">
      <w:pPr>
        <w:rPr>
          <w:lang w:val="en-AU"/>
        </w:rPr>
      </w:pPr>
      <w:r w:rsidRPr="00501137">
        <w:rPr>
          <w:lang w:val="en-AU"/>
        </w:rPr>
        <w:t>The NDRP aims to create a collaborative, translational research program to conduct cutting-edge research that will improve policies and practices, ultimately enabling people with disability across Australia to participate fully in society</w:t>
      </w:r>
    </w:p>
    <w:p w:rsidR="00501137" w:rsidRPr="00501137" w:rsidRDefault="00501137" w:rsidP="00501137">
      <w:pPr>
        <w:rPr>
          <w:lang w:val="en-AU"/>
        </w:rPr>
      </w:pPr>
      <w:r w:rsidRPr="00501137">
        <w:rPr>
          <w:lang w:val="en-AU"/>
        </w:rPr>
        <w:t>Initial funding from the Australian Government for two years until mid-2022, through a grant to the Melbourne Disability Institute (MDI), with the following objectives:</w:t>
      </w:r>
    </w:p>
    <w:p w:rsidR="00000000" w:rsidRPr="00501137" w:rsidRDefault="00501137" w:rsidP="00501137">
      <w:pPr>
        <w:numPr>
          <w:ilvl w:val="0"/>
          <w:numId w:val="5"/>
        </w:numPr>
        <w:rPr>
          <w:lang w:val="en-AU"/>
        </w:rPr>
      </w:pPr>
      <w:r w:rsidRPr="00501137">
        <w:rPr>
          <w:lang w:val="en-AU"/>
        </w:rPr>
        <w:t xml:space="preserve">Produce a Research Agenda building on existing foundations that focuses on research for evidence-informed policy and practice </w:t>
      </w:r>
    </w:p>
    <w:p w:rsidR="00000000" w:rsidRPr="00501137" w:rsidRDefault="00501137" w:rsidP="00501137">
      <w:pPr>
        <w:numPr>
          <w:ilvl w:val="0"/>
          <w:numId w:val="5"/>
        </w:numPr>
        <w:rPr>
          <w:lang w:val="en-AU"/>
        </w:rPr>
      </w:pPr>
      <w:r w:rsidRPr="00501137">
        <w:rPr>
          <w:lang w:val="en-AU"/>
        </w:rPr>
        <w:t>Develop a future governance model for the NDRP</w:t>
      </w:r>
    </w:p>
    <w:p w:rsidR="00000000" w:rsidRPr="00501137" w:rsidRDefault="00501137" w:rsidP="00501137">
      <w:pPr>
        <w:numPr>
          <w:ilvl w:val="0"/>
          <w:numId w:val="5"/>
        </w:numPr>
        <w:rPr>
          <w:lang w:val="en-AU"/>
        </w:rPr>
      </w:pPr>
      <w:r w:rsidRPr="00501137">
        <w:rPr>
          <w:lang w:val="en-AU"/>
        </w:rPr>
        <w:t>Map relevant research capability in Australia and proposing strategies and activities for buildin</w:t>
      </w:r>
      <w:r w:rsidRPr="00501137">
        <w:rPr>
          <w:lang w:val="en-AU"/>
        </w:rPr>
        <w:t>g research capacity and partnerships</w:t>
      </w:r>
    </w:p>
    <w:p w:rsidR="00000000" w:rsidRPr="00501137" w:rsidRDefault="00501137" w:rsidP="00501137">
      <w:pPr>
        <w:numPr>
          <w:ilvl w:val="0"/>
          <w:numId w:val="5"/>
        </w:numPr>
        <w:rPr>
          <w:lang w:val="en-AU"/>
        </w:rPr>
      </w:pPr>
      <w:r w:rsidRPr="00501137">
        <w:rPr>
          <w:lang w:val="en-AU"/>
        </w:rPr>
        <w:t>Produce a practical guide to disability-inclusive research</w:t>
      </w:r>
    </w:p>
    <w:p w:rsidR="00000000" w:rsidRPr="00501137" w:rsidRDefault="00501137" w:rsidP="00501137">
      <w:pPr>
        <w:numPr>
          <w:ilvl w:val="0"/>
          <w:numId w:val="5"/>
        </w:numPr>
        <w:rPr>
          <w:lang w:val="en-AU"/>
        </w:rPr>
      </w:pPr>
      <w:r w:rsidRPr="00501137">
        <w:rPr>
          <w:lang w:val="en-AU"/>
        </w:rPr>
        <w:t>Undertake two demonstration proj</w:t>
      </w:r>
      <w:r w:rsidRPr="00501137">
        <w:rPr>
          <w:lang w:val="en-AU"/>
        </w:rPr>
        <w:t>ects, and</w:t>
      </w:r>
    </w:p>
    <w:p w:rsidR="00000000" w:rsidRPr="00501137" w:rsidRDefault="00501137" w:rsidP="00501137">
      <w:pPr>
        <w:numPr>
          <w:ilvl w:val="0"/>
          <w:numId w:val="5"/>
        </w:numPr>
        <w:rPr>
          <w:lang w:val="en-AU"/>
        </w:rPr>
      </w:pPr>
      <w:r w:rsidRPr="00501137">
        <w:rPr>
          <w:lang w:val="en-AU"/>
        </w:rPr>
        <w:t>Identify and develop international research partnerships and establish key international collaborations.</w:t>
      </w:r>
    </w:p>
    <w:p w:rsidR="00501137" w:rsidRDefault="00501137" w:rsidP="00501137">
      <w:pPr>
        <w:pStyle w:val="Heading2"/>
      </w:pPr>
      <w:r>
        <w:lastRenderedPageBreak/>
        <w:t xml:space="preserve">Slide </w:t>
      </w:r>
      <w:bookmarkStart w:id="0" w:name="_GoBack"/>
      <w:bookmarkEnd w:id="0"/>
      <w:r>
        <w:t>9</w:t>
      </w:r>
    </w:p>
    <w:p w:rsidR="00501137" w:rsidRDefault="00501137" w:rsidP="00501137">
      <w:pPr>
        <w:pStyle w:val="Heading3"/>
      </w:pPr>
      <w:r>
        <w:t>NDRP Research Agenda</w:t>
      </w:r>
    </w:p>
    <w:p w:rsidR="00501137" w:rsidRPr="00501137" w:rsidRDefault="00501137" w:rsidP="00501137">
      <w:pPr>
        <w:rPr>
          <w:lang w:val="en-AU"/>
        </w:rPr>
      </w:pPr>
      <w:r w:rsidRPr="00501137">
        <w:rPr>
          <w:lang w:val="en-AU"/>
        </w:rPr>
        <w:t xml:space="preserve">The Audit of Disability Research in 2017 identified eight domains for research: </w:t>
      </w:r>
    </w:p>
    <w:p w:rsidR="00000000" w:rsidRPr="00501137" w:rsidRDefault="00501137" w:rsidP="00501137">
      <w:pPr>
        <w:numPr>
          <w:ilvl w:val="0"/>
          <w:numId w:val="6"/>
        </w:numPr>
        <w:rPr>
          <w:lang w:val="en-AU"/>
        </w:rPr>
      </w:pPr>
      <w:r w:rsidRPr="00501137">
        <w:rPr>
          <w:lang w:val="en-AU"/>
        </w:rPr>
        <w:t>Education</w:t>
      </w:r>
    </w:p>
    <w:p w:rsidR="00000000" w:rsidRPr="00501137" w:rsidRDefault="00501137" w:rsidP="00501137">
      <w:pPr>
        <w:numPr>
          <w:ilvl w:val="0"/>
          <w:numId w:val="6"/>
        </w:numPr>
        <w:rPr>
          <w:lang w:val="en-AU"/>
        </w:rPr>
      </w:pPr>
      <w:r w:rsidRPr="00501137">
        <w:rPr>
          <w:lang w:val="en-AU"/>
        </w:rPr>
        <w:t>Economic Participation</w:t>
      </w:r>
    </w:p>
    <w:p w:rsidR="00000000" w:rsidRPr="00501137" w:rsidRDefault="00501137" w:rsidP="00501137">
      <w:pPr>
        <w:numPr>
          <w:ilvl w:val="0"/>
          <w:numId w:val="6"/>
        </w:numPr>
        <w:rPr>
          <w:lang w:val="en-AU"/>
        </w:rPr>
      </w:pPr>
      <w:r w:rsidRPr="00501137">
        <w:rPr>
          <w:lang w:val="en-AU"/>
        </w:rPr>
        <w:t>Social Relationships</w:t>
      </w:r>
    </w:p>
    <w:p w:rsidR="00000000" w:rsidRPr="00501137" w:rsidRDefault="00501137" w:rsidP="00501137">
      <w:pPr>
        <w:numPr>
          <w:ilvl w:val="0"/>
          <w:numId w:val="6"/>
        </w:numPr>
        <w:rPr>
          <w:lang w:val="en-AU"/>
        </w:rPr>
      </w:pPr>
      <w:r w:rsidRPr="00501137">
        <w:rPr>
          <w:lang w:val="en-AU"/>
        </w:rPr>
        <w:t>Health and Well-being</w:t>
      </w:r>
    </w:p>
    <w:p w:rsidR="00000000" w:rsidRPr="00501137" w:rsidRDefault="00501137" w:rsidP="00501137">
      <w:pPr>
        <w:numPr>
          <w:ilvl w:val="0"/>
          <w:numId w:val="6"/>
        </w:numPr>
        <w:rPr>
          <w:lang w:val="en-AU"/>
        </w:rPr>
      </w:pPr>
      <w:r w:rsidRPr="00501137">
        <w:rPr>
          <w:lang w:val="en-AU"/>
        </w:rPr>
        <w:t>Community and Civic Participation</w:t>
      </w:r>
    </w:p>
    <w:p w:rsidR="00000000" w:rsidRPr="00501137" w:rsidRDefault="00501137" w:rsidP="00501137">
      <w:pPr>
        <w:numPr>
          <w:ilvl w:val="0"/>
          <w:numId w:val="6"/>
        </w:numPr>
        <w:rPr>
          <w:lang w:val="en-AU"/>
        </w:rPr>
      </w:pPr>
      <w:r w:rsidRPr="00501137">
        <w:rPr>
          <w:lang w:val="en-AU"/>
        </w:rPr>
        <w:t>Transport and Communication</w:t>
      </w:r>
    </w:p>
    <w:p w:rsidR="00000000" w:rsidRPr="00501137" w:rsidRDefault="00501137" w:rsidP="00501137">
      <w:pPr>
        <w:numPr>
          <w:ilvl w:val="0"/>
          <w:numId w:val="6"/>
        </w:numPr>
        <w:rPr>
          <w:lang w:val="en-AU"/>
        </w:rPr>
      </w:pPr>
      <w:r w:rsidRPr="00501137">
        <w:rPr>
          <w:lang w:val="en-AU"/>
        </w:rPr>
        <w:t>S</w:t>
      </w:r>
      <w:r w:rsidRPr="00501137">
        <w:rPr>
          <w:lang w:val="en-AU"/>
        </w:rPr>
        <w:t>ector Development and Sustainability</w:t>
      </w:r>
    </w:p>
    <w:p w:rsidR="00000000" w:rsidRPr="00501137" w:rsidRDefault="00501137" w:rsidP="00501137">
      <w:pPr>
        <w:numPr>
          <w:ilvl w:val="0"/>
          <w:numId w:val="6"/>
        </w:numPr>
        <w:rPr>
          <w:lang w:val="en-AU"/>
        </w:rPr>
      </w:pPr>
      <w:r w:rsidRPr="00501137">
        <w:rPr>
          <w:lang w:val="en-AU"/>
        </w:rPr>
        <w:t>Safety and Security</w:t>
      </w:r>
    </w:p>
    <w:p w:rsidR="00000000" w:rsidRPr="00501137" w:rsidRDefault="00501137" w:rsidP="00501137">
      <w:pPr>
        <w:numPr>
          <w:ilvl w:val="0"/>
          <w:numId w:val="6"/>
        </w:numPr>
        <w:rPr>
          <w:lang w:val="en-AU"/>
        </w:rPr>
      </w:pPr>
      <w:r w:rsidRPr="00501137">
        <w:rPr>
          <w:lang w:val="en-AU"/>
        </w:rPr>
        <w:t>Housing and the Built Environment</w:t>
      </w:r>
    </w:p>
    <w:p w:rsidR="00501137" w:rsidRDefault="00501137" w:rsidP="00501137">
      <w:pPr>
        <w:rPr>
          <w:lang w:val="en-AU"/>
        </w:rPr>
      </w:pPr>
      <w:r w:rsidRPr="00501137">
        <w:rPr>
          <w:lang w:val="en-AU"/>
        </w:rPr>
        <w:t>These will be updated by a highly inclusive consortium to create a 10-year Research Agenda</w:t>
      </w:r>
      <w:r>
        <w:rPr>
          <w:lang w:val="en-AU"/>
        </w:rPr>
        <w:t>.</w:t>
      </w:r>
    </w:p>
    <w:p w:rsidR="00501137" w:rsidRDefault="00501137" w:rsidP="00501137">
      <w:pPr>
        <w:pStyle w:val="Heading2"/>
      </w:pPr>
      <w:r>
        <w:t>Slide 10</w:t>
      </w:r>
    </w:p>
    <w:p w:rsidR="00501137" w:rsidRPr="00501137" w:rsidRDefault="00501137" w:rsidP="00501137">
      <w:pPr>
        <w:pStyle w:val="Heading3"/>
      </w:pPr>
      <w:r w:rsidRPr="00501137">
        <w:t>Building the evidence for transformation – MDI</w:t>
      </w:r>
    </w:p>
    <w:p w:rsidR="00501137" w:rsidRPr="00501137" w:rsidRDefault="00501137" w:rsidP="00501137">
      <w:pPr>
        <w:rPr>
          <w:lang w:val="en-AU"/>
        </w:rPr>
      </w:pPr>
      <w:r w:rsidRPr="00501137">
        <w:rPr>
          <w:b/>
          <w:bCs/>
          <w:u w:val="single"/>
          <w:lang w:val="en-AU"/>
        </w:rPr>
        <w:t>Vision:</w:t>
      </w:r>
      <w:r w:rsidRPr="00501137">
        <w:rPr>
          <w:b/>
          <w:bCs/>
          <w:lang w:val="en-AU"/>
        </w:rPr>
        <w:t xml:space="preserve"> </w:t>
      </w:r>
      <w:r w:rsidRPr="00501137">
        <w:rPr>
          <w:lang w:val="en-AU"/>
        </w:rPr>
        <w:t xml:space="preserve">To transform the social and economic wellbeing and health of people with disability through high-quality research, teaching and training, and knowledge translation. </w:t>
      </w:r>
    </w:p>
    <w:p w:rsidR="00501137" w:rsidRPr="00501137" w:rsidRDefault="00501137" w:rsidP="00501137">
      <w:pPr>
        <w:rPr>
          <w:lang w:val="en-AU"/>
        </w:rPr>
      </w:pPr>
      <w:r w:rsidRPr="00501137">
        <w:rPr>
          <w:b/>
          <w:bCs/>
          <w:u w:val="single"/>
          <w:lang w:val="en-AU"/>
        </w:rPr>
        <w:t>Mission</w:t>
      </w:r>
      <w:r w:rsidRPr="00501137">
        <w:rPr>
          <w:lang w:val="en-AU"/>
        </w:rPr>
        <w:t xml:space="preserve">: In partnership with key stakeholders, we will catalyse interdisciplinary research and teaching that addresses complex, systemic, strategic and cultural problems facing people with disability, their families and carers.  The knowledge produced through our research will be translated in policy and practice through a process of continuous engagement and innovation. </w:t>
      </w:r>
    </w:p>
    <w:p w:rsidR="00501137" w:rsidRDefault="00501137">
      <w:pPr>
        <w:spacing w:before="0" w:after="160" w:line="259" w:lineRule="auto"/>
        <w:rPr>
          <w:rFonts w:eastAsiaTheme="majorEastAsia" w:cstheme="majorBidi"/>
          <w:b/>
          <w:bCs/>
          <w:color w:val="00767F"/>
          <w:sz w:val="28"/>
          <w:szCs w:val="26"/>
          <w:lang w:val="en-AU" w:eastAsia="en-AU"/>
        </w:rPr>
      </w:pPr>
      <w:r>
        <w:br w:type="page"/>
      </w:r>
    </w:p>
    <w:p w:rsidR="00501137" w:rsidRDefault="00501137" w:rsidP="00501137">
      <w:pPr>
        <w:pStyle w:val="Heading2"/>
      </w:pPr>
      <w:r>
        <w:lastRenderedPageBreak/>
        <w:t>Slide 11</w:t>
      </w:r>
    </w:p>
    <w:p w:rsidR="00501137" w:rsidRDefault="00501137" w:rsidP="00501137">
      <w:pPr>
        <w:pStyle w:val="Heading3"/>
      </w:pPr>
      <w:r>
        <w:t xml:space="preserve">MDI Priorities </w:t>
      </w:r>
    </w:p>
    <w:p w:rsidR="00501137" w:rsidRPr="00501137" w:rsidRDefault="00501137" w:rsidP="00501137">
      <w:pPr>
        <w:rPr>
          <w:lang w:val="en-AU"/>
        </w:rPr>
      </w:pPr>
      <w:r w:rsidRPr="00501137">
        <w:rPr>
          <w:b/>
          <w:bCs/>
          <w:lang w:val="en-AU"/>
        </w:rPr>
        <w:t xml:space="preserve">Data </w:t>
      </w:r>
      <w:r w:rsidRPr="00501137">
        <w:rPr>
          <w:lang w:val="en-AU"/>
        </w:rPr>
        <w:t>– Established the Democratising Disability Data Coalition and now working with the Australian Digital Council and the new National Disability Data Asset</w:t>
      </w:r>
    </w:p>
    <w:p w:rsidR="00501137" w:rsidRPr="00501137" w:rsidRDefault="00501137" w:rsidP="00501137">
      <w:pPr>
        <w:rPr>
          <w:lang w:val="en-AU"/>
        </w:rPr>
      </w:pPr>
      <w:r w:rsidRPr="00501137">
        <w:rPr>
          <w:b/>
          <w:bCs/>
          <w:lang w:val="en-AU"/>
        </w:rPr>
        <w:t xml:space="preserve">National Disability Research Partnership </w:t>
      </w:r>
      <w:r w:rsidRPr="00501137">
        <w:rPr>
          <w:lang w:val="en-AU"/>
        </w:rPr>
        <w:t>– Designing for Disability = Designing for All - service innovation, technology innovation, market design and policy development and improvement ($2.5 million over two years)</w:t>
      </w:r>
    </w:p>
    <w:p w:rsidR="00501137" w:rsidRPr="00501137" w:rsidRDefault="00501137" w:rsidP="00501137">
      <w:pPr>
        <w:rPr>
          <w:lang w:val="en-AU"/>
        </w:rPr>
      </w:pPr>
      <w:r w:rsidRPr="00501137">
        <w:rPr>
          <w:b/>
          <w:bCs/>
          <w:lang w:val="en-AU"/>
        </w:rPr>
        <w:t xml:space="preserve">Plan utilisation </w:t>
      </w:r>
      <w:r w:rsidRPr="00501137">
        <w:rPr>
          <w:lang w:val="en-AU"/>
        </w:rPr>
        <w:t>– strategic research advice to the Victorian and Commonwealth Governments using quantitative and qualitative analysis to solve a policy conundrum</w:t>
      </w:r>
    </w:p>
    <w:p w:rsidR="00501137" w:rsidRPr="00501137" w:rsidRDefault="00501137" w:rsidP="00501137">
      <w:pPr>
        <w:rPr>
          <w:lang w:val="en-AU"/>
        </w:rPr>
      </w:pPr>
      <w:r w:rsidRPr="00501137">
        <w:rPr>
          <w:b/>
          <w:bCs/>
          <w:lang w:val="en-AU"/>
        </w:rPr>
        <w:t>Co-design</w:t>
      </w:r>
      <w:r w:rsidRPr="00501137">
        <w:rPr>
          <w:lang w:val="en-AU"/>
        </w:rPr>
        <w:t xml:space="preserve"> and building the capacity of people with disability as co-researchers</w:t>
      </w:r>
    </w:p>
    <w:p w:rsidR="00501137" w:rsidRPr="00501137" w:rsidRDefault="00501137" w:rsidP="00501137">
      <w:pPr>
        <w:rPr>
          <w:lang w:val="en-AU"/>
        </w:rPr>
      </w:pPr>
      <w:r w:rsidRPr="00501137">
        <w:rPr>
          <w:lang w:val="en-AU"/>
        </w:rPr>
        <w:t xml:space="preserve">Partnership with the </w:t>
      </w:r>
      <w:r w:rsidRPr="00501137">
        <w:rPr>
          <w:b/>
          <w:bCs/>
          <w:lang w:val="en-AU"/>
        </w:rPr>
        <w:t xml:space="preserve">Brotherhood of St Lawrence </w:t>
      </w:r>
      <w:r w:rsidRPr="00501137">
        <w:rPr>
          <w:lang w:val="en-AU"/>
        </w:rPr>
        <w:t xml:space="preserve">and </w:t>
      </w:r>
      <w:proofErr w:type="spellStart"/>
      <w:r w:rsidRPr="00501137">
        <w:rPr>
          <w:b/>
          <w:bCs/>
          <w:lang w:val="en-AU"/>
        </w:rPr>
        <w:t>Baptcare</w:t>
      </w:r>
      <w:proofErr w:type="spellEnd"/>
      <w:r w:rsidRPr="00501137">
        <w:rPr>
          <w:b/>
          <w:bCs/>
          <w:lang w:val="en-AU"/>
        </w:rPr>
        <w:t xml:space="preserve"> </w:t>
      </w:r>
      <w:r w:rsidRPr="00501137">
        <w:rPr>
          <w:lang w:val="en-AU"/>
        </w:rPr>
        <w:t>focusing on enhancing Local Area Coordination, improving housing options (non-SDA) and increasing employment</w:t>
      </w:r>
    </w:p>
    <w:p w:rsidR="00501137" w:rsidRPr="00501137" w:rsidRDefault="00501137" w:rsidP="00501137">
      <w:pPr>
        <w:rPr>
          <w:lang w:val="en-AU"/>
        </w:rPr>
      </w:pPr>
      <w:r w:rsidRPr="00501137">
        <w:rPr>
          <w:b/>
          <w:bCs/>
          <w:lang w:val="en-AU"/>
        </w:rPr>
        <w:t>Research Hubs</w:t>
      </w:r>
      <w:r w:rsidRPr="00501137">
        <w:rPr>
          <w:lang w:val="en-AU"/>
        </w:rPr>
        <w:t>: Social Work, Architecture &amp; Universal Design, Children &amp; Youth, Economics &amp; Data, International (</w:t>
      </w:r>
      <w:proofErr w:type="spellStart"/>
      <w:r w:rsidRPr="00501137">
        <w:rPr>
          <w:lang w:val="en-AU"/>
        </w:rPr>
        <w:t>Nossal</w:t>
      </w:r>
      <w:proofErr w:type="spellEnd"/>
      <w:r w:rsidRPr="00501137">
        <w:rPr>
          <w:lang w:val="en-AU"/>
        </w:rPr>
        <w:t xml:space="preserve"> Institute for Global Health), Social &amp; Political Science, Creative Arts</w:t>
      </w:r>
    </w:p>
    <w:p w:rsidR="00501137" w:rsidRDefault="00501137" w:rsidP="00501137">
      <w:pPr>
        <w:rPr>
          <w:lang w:val="en-AU"/>
        </w:rPr>
      </w:pPr>
      <w:r w:rsidRPr="00501137">
        <w:rPr>
          <w:b/>
          <w:bCs/>
          <w:lang w:val="en-AU"/>
        </w:rPr>
        <w:t xml:space="preserve">Global leadership: </w:t>
      </w:r>
      <w:r w:rsidRPr="00501137">
        <w:rPr>
          <w:lang w:val="en-AU"/>
        </w:rPr>
        <w:tab/>
      </w:r>
    </w:p>
    <w:p w:rsidR="00501137" w:rsidRPr="00501137" w:rsidRDefault="00501137" w:rsidP="00501137">
      <w:pPr>
        <w:rPr>
          <w:lang w:val="en-AU"/>
        </w:rPr>
      </w:pPr>
      <w:r w:rsidRPr="00501137">
        <w:rPr>
          <w:lang w:val="en-AU"/>
        </w:rPr>
        <w:t xml:space="preserve">- </w:t>
      </w:r>
      <w:r w:rsidRPr="00501137">
        <w:rPr>
          <w:b/>
          <w:bCs/>
          <w:lang w:val="en-AU"/>
        </w:rPr>
        <w:t xml:space="preserve">India: </w:t>
      </w:r>
      <w:r w:rsidRPr="00501137">
        <w:rPr>
          <w:lang w:val="en-AU"/>
        </w:rPr>
        <w:t xml:space="preserve">Modelling an NDIS;  building family and community capacity </w:t>
      </w:r>
    </w:p>
    <w:p w:rsidR="00501137" w:rsidRPr="00501137" w:rsidRDefault="00501137" w:rsidP="00501137">
      <w:pPr>
        <w:rPr>
          <w:lang w:val="en-AU"/>
        </w:rPr>
      </w:pPr>
      <w:r w:rsidRPr="00501137">
        <w:rPr>
          <w:lang w:val="en-AU"/>
        </w:rPr>
        <w:t xml:space="preserve">- </w:t>
      </w:r>
      <w:r w:rsidRPr="00501137">
        <w:rPr>
          <w:b/>
          <w:bCs/>
          <w:lang w:val="en-AU"/>
        </w:rPr>
        <w:t>Canada:</w:t>
      </w:r>
      <w:r w:rsidRPr="00501137">
        <w:rPr>
          <w:lang w:val="en-AU"/>
        </w:rPr>
        <w:t xml:space="preserve"> working with </w:t>
      </w:r>
      <w:r w:rsidRPr="00501137">
        <w:rPr>
          <w:i/>
          <w:iCs/>
          <w:lang w:val="en-AU"/>
        </w:rPr>
        <w:t>Every Canadian Counts</w:t>
      </w:r>
    </w:p>
    <w:p w:rsidR="00501137" w:rsidRDefault="00501137" w:rsidP="00501137">
      <w:pPr>
        <w:rPr>
          <w:lang w:val="en-AU"/>
        </w:rPr>
      </w:pPr>
      <w:r w:rsidRPr="00501137">
        <w:rPr>
          <w:i/>
          <w:iCs/>
          <w:lang w:val="en-AU"/>
        </w:rPr>
        <w:t xml:space="preserve">- </w:t>
      </w:r>
      <w:r w:rsidRPr="00501137">
        <w:rPr>
          <w:b/>
          <w:bCs/>
          <w:lang w:val="en-AU"/>
        </w:rPr>
        <w:t>Cambodia</w:t>
      </w:r>
      <w:r w:rsidRPr="00501137">
        <w:rPr>
          <w:lang w:val="en-AU"/>
        </w:rPr>
        <w:t xml:space="preserve">: strengthening social protection for people with disabilities </w:t>
      </w:r>
    </w:p>
    <w:p w:rsidR="00501137" w:rsidRDefault="00501137">
      <w:pPr>
        <w:spacing w:before="0" w:after="160" w:line="259" w:lineRule="auto"/>
        <w:rPr>
          <w:rFonts w:eastAsiaTheme="majorEastAsia" w:cstheme="majorBidi"/>
          <w:b/>
          <w:bCs/>
          <w:color w:val="00767F"/>
          <w:sz w:val="28"/>
          <w:szCs w:val="26"/>
          <w:lang w:val="en-AU" w:eastAsia="en-AU"/>
        </w:rPr>
      </w:pPr>
      <w:r>
        <w:br w:type="page"/>
      </w:r>
    </w:p>
    <w:p w:rsidR="00501137" w:rsidRDefault="00501137" w:rsidP="00501137">
      <w:pPr>
        <w:pStyle w:val="Heading2"/>
      </w:pPr>
      <w:r>
        <w:lastRenderedPageBreak/>
        <w:t>Slide 12</w:t>
      </w:r>
    </w:p>
    <w:p w:rsidR="00501137" w:rsidRPr="00501137" w:rsidRDefault="00501137" w:rsidP="00501137">
      <w:pPr>
        <w:pStyle w:val="Heading3"/>
      </w:pPr>
      <w:r w:rsidRPr="00501137">
        <w:t>MDI Community Based Research Program</w:t>
      </w:r>
    </w:p>
    <w:p w:rsidR="00501137" w:rsidRPr="00501137" w:rsidRDefault="00501137" w:rsidP="00501137">
      <w:pPr>
        <w:rPr>
          <w:lang w:val="en-AU"/>
        </w:rPr>
      </w:pPr>
      <w:r w:rsidRPr="00501137">
        <w:rPr>
          <w:lang w:val="en-AU"/>
        </w:rPr>
        <w:t xml:space="preserve">MDI’s Community Based Research Scheme supports the evaluation and research of innovative ideas in the broader disability community by linking community organisations to researchers or students who provide rich evaluations or data that organisations can share with the wider community, use for applications to scale their project or demonstrate the unique and valuable projects that they have developed (see </w:t>
      </w:r>
      <w:hyperlink r:id="rId7" w:history="1">
        <w:r w:rsidRPr="00501137">
          <w:rPr>
            <w:rStyle w:val="Hyperlink"/>
            <w:lang w:val="en-AU"/>
          </w:rPr>
          <w:t>https://disability.unimelb.edu.au/home/current/community-based-research-scheme</w:t>
        </w:r>
      </w:hyperlink>
      <w:r w:rsidRPr="00501137">
        <w:rPr>
          <w:lang w:val="en-AU"/>
        </w:rPr>
        <w:t xml:space="preserve"> )</w:t>
      </w:r>
    </w:p>
    <w:p w:rsidR="00501137" w:rsidRPr="00501137" w:rsidRDefault="00501137" w:rsidP="00501137">
      <w:pPr>
        <w:rPr>
          <w:lang w:val="en-AU"/>
        </w:rPr>
      </w:pPr>
      <w:r w:rsidRPr="00501137">
        <w:rPr>
          <w:lang w:val="en-AU"/>
        </w:rPr>
        <w:t xml:space="preserve">Last week we invited five community organisations that have recently completed the program to showcase their findings and we have also announced the next funding round for our Community Based Research Program: </w:t>
      </w:r>
      <w:hyperlink r:id="rId8" w:history="1">
        <w:r w:rsidRPr="00501137">
          <w:rPr>
            <w:rStyle w:val="Hyperlink"/>
            <w:lang w:val="en-AU"/>
          </w:rPr>
          <w:t>https://disability.unimelb.edu.au/news-and-events/community-based-research-scheme-now-open</w:t>
        </w:r>
      </w:hyperlink>
    </w:p>
    <w:p w:rsidR="00501137" w:rsidRDefault="00501137">
      <w:pPr>
        <w:spacing w:before="0" w:after="160" w:line="259" w:lineRule="auto"/>
        <w:rPr>
          <w:rFonts w:eastAsiaTheme="majorEastAsia" w:cstheme="majorBidi"/>
          <w:b/>
          <w:bCs/>
          <w:color w:val="00767F"/>
          <w:sz w:val="28"/>
          <w:szCs w:val="26"/>
          <w:lang w:val="en-AU" w:eastAsia="en-AU"/>
        </w:rPr>
      </w:pPr>
      <w:r>
        <w:br w:type="page"/>
      </w:r>
    </w:p>
    <w:p w:rsidR="00501137" w:rsidRDefault="00501137" w:rsidP="00501137">
      <w:pPr>
        <w:pStyle w:val="Heading2"/>
      </w:pPr>
      <w:r>
        <w:lastRenderedPageBreak/>
        <w:t>Slide 13</w:t>
      </w:r>
    </w:p>
    <w:p w:rsidR="00501137" w:rsidRDefault="00501137" w:rsidP="00501137">
      <w:pPr>
        <w:pStyle w:val="Heading3"/>
      </w:pPr>
      <w:r>
        <w:t>Some concluding remarks</w:t>
      </w:r>
    </w:p>
    <w:p w:rsidR="00000000" w:rsidRPr="00501137" w:rsidRDefault="00501137" w:rsidP="00501137">
      <w:pPr>
        <w:numPr>
          <w:ilvl w:val="0"/>
          <w:numId w:val="7"/>
        </w:numPr>
        <w:rPr>
          <w:lang w:val="en-AU"/>
        </w:rPr>
      </w:pPr>
      <w:r w:rsidRPr="00501137">
        <w:rPr>
          <w:lang w:val="en-AU"/>
        </w:rPr>
        <w:t>Australia has the potential to have one of the best disability system in the world, which embraces disab</w:t>
      </w:r>
      <w:r w:rsidRPr="00501137">
        <w:rPr>
          <w:lang w:val="en-AU"/>
        </w:rPr>
        <w:t>ility rights, and for Australia to be globally recognised as a leader in disability reform</w:t>
      </w:r>
    </w:p>
    <w:p w:rsidR="00000000" w:rsidRPr="00501137" w:rsidRDefault="00501137" w:rsidP="00501137">
      <w:pPr>
        <w:numPr>
          <w:ilvl w:val="0"/>
          <w:numId w:val="7"/>
        </w:numPr>
        <w:rPr>
          <w:lang w:val="en-AU"/>
        </w:rPr>
      </w:pPr>
      <w:r w:rsidRPr="00501137">
        <w:rPr>
          <w:lang w:val="en-AU"/>
        </w:rPr>
        <w:t>Using data and evidence smartly and systematically is the key to world-best practices and policies</w:t>
      </w:r>
    </w:p>
    <w:p w:rsidR="00000000" w:rsidRPr="00501137" w:rsidRDefault="00501137" w:rsidP="00501137">
      <w:pPr>
        <w:numPr>
          <w:ilvl w:val="0"/>
          <w:numId w:val="7"/>
        </w:numPr>
        <w:rPr>
          <w:lang w:val="en-AU"/>
        </w:rPr>
      </w:pPr>
      <w:r w:rsidRPr="00501137">
        <w:rPr>
          <w:lang w:val="en-AU"/>
        </w:rPr>
        <w:t>People with disability are central to research – helping set the questions and engaging in research including as researchers or co-researchers</w:t>
      </w:r>
    </w:p>
    <w:p w:rsidR="00000000" w:rsidRPr="00501137" w:rsidRDefault="00501137" w:rsidP="00501137">
      <w:pPr>
        <w:numPr>
          <w:ilvl w:val="0"/>
          <w:numId w:val="7"/>
        </w:numPr>
        <w:rPr>
          <w:lang w:val="en-AU"/>
        </w:rPr>
      </w:pPr>
      <w:r w:rsidRPr="00501137">
        <w:rPr>
          <w:lang w:val="en-AU"/>
        </w:rPr>
        <w:t xml:space="preserve">At the Melbourne Disability Institute we are deeply committed to building the evidence for real transformation in the lives of people with disability, their </w:t>
      </w:r>
      <w:r w:rsidRPr="00501137">
        <w:rPr>
          <w:lang w:val="en-AU"/>
        </w:rPr>
        <w:t>families and carers and achieving this through long term partnerships based on trust, mutual respect and co-design</w:t>
      </w:r>
    </w:p>
    <w:p w:rsidR="00501137" w:rsidRDefault="00501137" w:rsidP="00501137">
      <w:pPr>
        <w:rPr>
          <w:b/>
          <w:bCs/>
          <w:i/>
          <w:iCs/>
        </w:rPr>
      </w:pPr>
      <w:r w:rsidRPr="00501137">
        <w:rPr>
          <w:b/>
          <w:bCs/>
          <w:i/>
          <w:iCs/>
          <w:lang w:val="en-AU"/>
        </w:rPr>
        <w:t xml:space="preserve">Reform never ends. Nor the fight for equity, justice and equal opportunity. Our aim, as advocates, is to create public benefits so that the world is a better place. There has never been a better time for deeper and long-term reform or to make advocacy even more effective. For that we need better data, more </w:t>
      </w:r>
      <w:r w:rsidRPr="00501137">
        <w:rPr>
          <w:b/>
          <w:bCs/>
          <w:i/>
          <w:iCs/>
        </w:rPr>
        <w:t>research and new and stronger partnerships to transform lives</w:t>
      </w:r>
      <w:r>
        <w:rPr>
          <w:b/>
          <w:bCs/>
          <w:i/>
          <w:iCs/>
        </w:rPr>
        <w:t>.</w:t>
      </w:r>
    </w:p>
    <w:p w:rsidR="00501137" w:rsidRPr="00501137" w:rsidRDefault="00501137" w:rsidP="00501137">
      <w:pPr>
        <w:pStyle w:val="Heading2"/>
        <w:rPr>
          <w:rFonts w:eastAsiaTheme="minorHAnsi" w:cstheme="minorBidi"/>
          <w:szCs w:val="22"/>
          <w:lang w:eastAsia="en-US"/>
        </w:rPr>
      </w:pPr>
      <w:r>
        <w:t>End of PowerPoint presentation.</w:t>
      </w:r>
    </w:p>
    <w:p w:rsidR="00501137" w:rsidRPr="0009393C" w:rsidRDefault="00501137" w:rsidP="0009393C">
      <w:pPr>
        <w:rPr>
          <w:lang w:val="en-AU"/>
        </w:rPr>
      </w:pPr>
    </w:p>
    <w:p w:rsidR="0009393C" w:rsidRPr="0009393C" w:rsidRDefault="0009393C" w:rsidP="0009393C">
      <w:pPr>
        <w:rPr>
          <w:lang w:val="en-AU"/>
        </w:rPr>
      </w:pPr>
    </w:p>
    <w:p w:rsidR="0009393C" w:rsidRPr="0009393C" w:rsidRDefault="0009393C" w:rsidP="0009393C">
      <w:pPr>
        <w:rPr>
          <w:lang w:val="en-AU"/>
        </w:rPr>
      </w:pPr>
    </w:p>
    <w:p w:rsidR="0009393C" w:rsidRPr="0009393C" w:rsidRDefault="0009393C" w:rsidP="0009393C">
      <w:pPr>
        <w:rPr>
          <w:lang w:val="en-AU"/>
        </w:rPr>
      </w:pPr>
    </w:p>
    <w:p w:rsidR="0009393C" w:rsidRDefault="0009393C"/>
    <w:sectPr w:rsidR="0009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465"/>
    <w:multiLevelType w:val="hybridMultilevel"/>
    <w:tmpl w:val="D9868A88"/>
    <w:lvl w:ilvl="0" w:tplc="28BE792A">
      <w:start w:val="1"/>
      <w:numFmt w:val="bullet"/>
      <w:lvlText w:val="•"/>
      <w:lvlJc w:val="left"/>
      <w:pPr>
        <w:tabs>
          <w:tab w:val="num" w:pos="720"/>
        </w:tabs>
        <w:ind w:left="720" w:hanging="360"/>
      </w:pPr>
      <w:rPr>
        <w:rFonts w:ascii="Arial" w:hAnsi="Arial" w:hint="default"/>
      </w:rPr>
    </w:lvl>
    <w:lvl w:ilvl="1" w:tplc="A8AC7902">
      <w:start w:val="58"/>
      <w:numFmt w:val="bullet"/>
      <w:lvlText w:val="•"/>
      <w:lvlJc w:val="left"/>
      <w:pPr>
        <w:tabs>
          <w:tab w:val="num" w:pos="1440"/>
        </w:tabs>
        <w:ind w:left="1440" w:hanging="360"/>
      </w:pPr>
      <w:rPr>
        <w:rFonts w:ascii="Arial" w:hAnsi="Arial" w:hint="default"/>
      </w:rPr>
    </w:lvl>
    <w:lvl w:ilvl="2" w:tplc="A4A0334C" w:tentative="1">
      <w:start w:val="1"/>
      <w:numFmt w:val="bullet"/>
      <w:lvlText w:val="•"/>
      <w:lvlJc w:val="left"/>
      <w:pPr>
        <w:tabs>
          <w:tab w:val="num" w:pos="2160"/>
        </w:tabs>
        <w:ind w:left="2160" w:hanging="360"/>
      </w:pPr>
      <w:rPr>
        <w:rFonts w:ascii="Arial" w:hAnsi="Arial" w:hint="default"/>
      </w:rPr>
    </w:lvl>
    <w:lvl w:ilvl="3" w:tplc="6DF8349C" w:tentative="1">
      <w:start w:val="1"/>
      <w:numFmt w:val="bullet"/>
      <w:lvlText w:val="•"/>
      <w:lvlJc w:val="left"/>
      <w:pPr>
        <w:tabs>
          <w:tab w:val="num" w:pos="2880"/>
        </w:tabs>
        <w:ind w:left="2880" w:hanging="360"/>
      </w:pPr>
      <w:rPr>
        <w:rFonts w:ascii="Arial" w:hAnsi="Arial" w:hint="default"/>
      </w:rPr>
    </w:lvl>
    <w:lvl w:ilvl="4" w:tplc="9A1EE74E" w:tentative="1">
      <w:start w:val="1"/>
      <w:numFmt w:val="bullet"/>
      <w:lvlText w:val="•"/>
      <w:lvlJc w:val="left"/>
      <w:pPr>
        <w:tabs>
          <w:tab w:val="num" w:pos="3600"/>
        </w:tabs>
        <w:ind w:left="3600" w:hanging="360"/>
      </w:pPr>
      <w:rPr>
        <w:rFonts w:ascii="Arial" w:hAnsi="Arial" w:hint="default"/>
      </w:rPr>
    </w:lvl>
    <w:lvl w:ilvl="5" w:tplc="559E057A" w:tentative="1">
      <w:start w:val="1"/>
      <w:numFmt w:val="bullet"/>
      <w:lvlText w:val="•"/>
      <w:lvlJc w:val="left"/>
      <w:pPr>
        <w:tabs>
          <w:tab w:val="num" w:pos="4320"/>
        </w:tabs>
        <w:ind w:left="4320" w:hanging="360"/>
      </w:pPr>
      <w:rPr>
        <w:rFonts w:ascii="Arial" w:hAnsi="Arial" w:hint="default"/>
      </w:rPr>
    </w:lvl>
    <w:lvl w:ilvl="6" w:tplc="523C4682" w:tentative="1">
      <w:start w:val="1"/>
      <w:numFmt w:val="bullet"/>
      <w:lvlText w:val="•"/>
      <w:lvlJc w:val="left"/>
      <w:pPr>
        <w:tabs>
          <w:tab w:val="num" w:pos="5040"/>
        </w:tabs>
        <w:ind w:left="5040" w:hanging="360"/>
      </w:pPr>
      <w:rPr>
        <w:rFonts w:ascii="Arial" w:hAnsi="Arial" w:hint="default"/>
      </w:rPr>
    </w:lvl>
    <w:lvl w:ilvl="7" w:tplc="58902370" w:tentative="1">
      <w:start w:val="1"/>
      <w:numFmt w:val="bullet"/>
      <w:lvlText w:val="•"/>
      <w:lvlJc w:val="left"/>
      <w:pPr>
        <w:tabs>
          <w:tab w:val="num" w:pos="5760"/>
        </w:tabs>
        <w:ind w:left="5760" w:hanging="360"/>
      </w:pPr>
      <w:rPr>
        <w:rFonts w:ascii="Arial" w:hAnsi="Arial" w:hint="default"/>
      </w:rPr>
    </w:lvl>
    <w:lvl w:ilvl="8" w:tplc="CBECA7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52D44"/>
    <w:multiLevelType w:val="hybridMultilevel"/>
    <w:tmpl w:val="7DA6E74E"/>
    <w:lvl w:ilvl="0" w:tplc="266C7B66">
      <w:start w:val="1"/>
      <w:numFmt w:val="decimal"/>
      <w:lvlText w:val="%1."/>
      <w:lvlJc w:val="left"/>
      <w:pPr>
        <w:tabs>
          <w:tab w:val="num" w:pos="720"/>
        </w:tabs>
        <w:ind w:left="720" w:hanging="360"/>
      </w:pPr>
    </w:lvl>
    <w:lvl w:ilvl="1" w:tplc="53B84B02" w:tentative="1">
      <w:start w:val="1"/>
      <w:numFmt w:val="decimal"/>
      <w:lvlText w:val="%2."/>
      <w:lvlJc w:val="left"/>
      <w:pPr>
        <w:tabs>
          <w:tab w:val="num" w:pos="1440"/>
        </w:tabs>
        <w:ind w:left="1440" w:hanging="360"/>
      </w:pPr>
    </w:lvl>
    <w:lvl w:ilvl="2" w:tplc="F0266DC8" w:tentative="1">
      <w:start w:val="1"/>
      <w:numFmt w:val="decimal"/>
      <w:lvlText w:val="%3."/>
      <w:lvlJc w:val="left"/>
      <w:pPr>
        <w:tabs>
          <w:tab w:val="num" w:pos="2160"/>
        </w:tabs>
        <w:ind w:left="2160" w:hanging="360"/>
      </w:pPr>
    </w:lvl>
    <w:lvl w:ilvl="3" w:tplc="F8104498" w:tentative="1">
      <w:start w:val="1"/>
      <w:numFmt w:val="decimal"/>
      <w:lvlText w:val="%4."/>
      <w:lvlJc w:val="left"/>
      <w:pPr>
        <w:tabs>
          <w:tab w:val="num" w:pos="2880"/>
        </w:tabs>
        <w:ind w:left="2880" w:hanging="360"/>
      </w:pPr>
    </w:lvl>
    <w:lvl w:ilvl="4" w:tplc="D9E84B84" w:tentative="1">
      <w:start w:val="1"/>
      <w:numFmt w:val="decimal"/>
      <w:lvlText w:val="%5."/>
      <w:lvlJc w:val="left"/>
      <w:pPr>
        <w:tabs>
          <w:tab w:val="num" w:pos="3600"/>
        </w:tabs>
        <w:ind w:left="3600" w:hanging="360"/>
      </w:pPr>
    </w:lvl>
    <w:lvl w:ilvl="5" w:tplc="787CB49C" w:tentative="1">
      <w:start w:val="1"/>
      <w:numFmt w:val="decimal"/>
      <w:lvlText w:val="%6."/>
      <w:lvlJc w:val="left"/>
      <w:pPr>
        <w:tabs>
          <w:tab w:val="num" w:pos="4320"/>
        </w:tabs>
        <w:ind w:left="4320" w:hanging="360"/>
      </w:pPr>
    </w:lvl>
    <w:lvl w:ilvl="6" w:tplc="51C41B72" w:tentative="1">
      <w:start w:val="1"/>
      <w:numFmt w:val="decimal"/>
      <w:lvlText w:val="%7."/>
      <w:lvlJc w:val="left"/>
      <w:pPr>
        <w:tabs>
          <w:tab w:val="num" w:pos="5040"/>
        </w:tabs>
        <w:ind w:left="5040" w:hanging="360"/>
      </w:pPr>
    </w:lvl>
    <w:lvl w:ilvl="7" w:tplc="5AE80F12" w:tentative="1">
      <w:start w:val="1"/>
      <w:numFmt w:val="decimal"/>
      <w:lvlText w:val="%8."/>
      <w:lvlJc w:val="left"/>
      <w:pPr>
        <w:tabs>
          <w:tab w:val="num" w:pos="5760"/>
        </w:tabs>
        <w:ind w:left="5760" w:hanging="360"/>
      </w:pPr>
    </w:lvl>
    <w:lvl w:ilvl="8" w:tplc="6E02A328" w:tentative="1">
      <w:start w:val="1"/>
      <w:numFmt w:val="decimal"/>
      <w:lvlText w:val="%9."/>
      <w:lvlJc w:val="left"/>
      <w:pPr>
        <w:tabs>
          <w:tab w:val="num" w:pos="6480"/>
        </w:tabs>
        <w:ind w:left="6480" w:hanging="360"/>
      </w:pPr>
    </w:lvl>
  </w:abstractNum>
  <w:abstractNum w:abstractNumId="2" w15:restartNumberingAfterBreak="0">
    <w:nsid w:val="31DA459E"/>
    <w:multiLevelType w:val="hybridMultilevel"/>
    <w:tmpl w:val="130AAF2E"/>
    <w:lvl w:ilvl="0" w:tplc="0BC02E9C">
      <w:start w:val="1"/>
      <w:numFmt w:val="bullet"/>
      <w:lvlText w:val="•"/>
      <w:lvlJc w:val="left"/>
      <w:pPr>
        <w:tabs>
          <w:tab w:val="num" w:pos="720"/>
        </w:tabs>
        <w:ind w:left="720" w:hanging="360"/>
      </w:pPr>
      <w:rPr>
        <w:rFonts w:ascii="Arial" w:hAnsi="Arial" w:hint="default"/>
      </w:rPr>
    </w:lvl>
    <w:lvl w:ilvl="1" w:tplc="9618AC48" w:tentative="1">
      <w:start w:val="1"/>
      <w:numFmt w:val="bullet"/>
      <w:lvlText w:val="•"/>
      <w:lvlJc w:val="left"/>
      <w:pPr>
        <w:tabs>
          <w:tab w:val="num" w:pos="1440"/>
        </w:tabs>
        <w:ind w:left="1440" w:hanging="360"/>
      </w:pPr>
      <w:rPr>
        <w:rFonts w:ascii="Arial" w:hAnsi="Arial" w:hint="default"/>
      </w:rPr>
    </w:lvl>
    <w:lvl w:ilvl="2" w:tplc="F8DCC288" w:tentative="1">
      <w:start w:val="1"/>
      <w:numFmt w:val="bullet"/>
      <w:lvlText w:val="•"/>
      <w:lvlJc w:val="left"/>
      <w:pPr>
        <w:tabs>
          <w:tab w:val="num" w:pos="2160"/>
        </w:tabs>
        <w:ind w:left="2160" w:hanging="360"/>
      </w:pPr>
      <w:rPr>
        <w:rFonts w:ascii="Arial" w:hAnsi="Arial" w:hint="default"/>
      </w:rPr>
    </w:lvl>
    <w:lvl w:ilvl="3" w:tplc="744AA6F6" w:tentative="1">
      <w:start w:val="1"/>
      <w:numFmt w:val="bullet"/>
      <w:lvlText w:val="•"/>
      <w:lvlJc w:val="left"/>
      <w:pPr>
        <w:tabs>
          <w:tab w:val="num" w:pos="2880"/>
        </w:tabs>
        <w:ind w:left="2880" w:hanging="360"/>
      </w:pPr>
      <w:rPr>
        <w:rFonts w:ascii="Arial" w:hAnsi="Arial" w:hint="default"/>
      </w:rPr>
    </w:lvl>
    <w:lvl w:ilvl="4" w:tplc="A792FC60" w:tentative="1">
      <w:start w:val="1"/>
      <w:numFmt w:val="bullet"/>
      <w:lvlText w:val="•"/>
      <w:lvlJc w:val="left"/>
      <w:pPr>
        <w:tabs>
          <w:tab w:val="num" w:pos="3600"/>
        </w:tabs>
        <w:ind w:left="3600" w:hanging="360"/>
      </w:pPr>
      <w:rPr>
        <w:rFonts w:ascii="Arial" w:hAnsi="Arial" w:hint="default"/>
      </w:rPr>
    </w:lvl>
    <w:lvl w:ilvl="5" w:tplc="A724B888" w:tentative="1">
      <w:start w:val="1"/>
      <w:numFmt w:val="bullet"/>
      <w:lvlText w:val="•"/>
      <w:lvlJc w:val="left"/>
      <w:pPr>
        <w:tabs>
          <w:tab w:val="num" w:pos="4320"/>
        </w:tabs>
        <w:ind w:left="4320" w:hanging="360"/>
      </w:pPr>
      <w:rPr>
        <w:rFonts w:ascii="Arial" w:hAnsi="Arial" w:hint="default"/>
      </w:rPr>
    </w:lvl>
    <w:lvl w:ilvl="6" w:tplc="A7B8BD32" w:tentative="1">
      <w:start w:val="1"/>
      <w:numFmt w:val="bullet"/>
      <w:lvlText w:val="•"/>
      <w:lvlJc w:val="left"/>
      <w:pPr>
        <w:tabs>
          <w:tab w:val="num" w:pos="5040"/>
        </w:tabs>
        <w:ind w:left="5040" w:hanging="360"/>
      </w:pPr>
      <w:rPr>
        <w:rFonts w:ascii="Arial" w:hAnsi="Arial" w:hint="default"/>
      </w:rPr>
    </w:lvl>
    <w:lvl w:ilvl="7" w:tplc="AE188084" w:tentative="1">
      <w:start w:val="1"/>
      <w:numFmt w:val="bullet"/>
      <w:lvlText w:val="•"/>
      <w:lvlJc w:val="left"/>
      <w:pPr>
        <w:tabs>
          <w:tab w:val="num" w:pos="5760"/>
        </w:tabs>
        <w:ind w:left="5760" w:hanging="360"/>
      </w:pPr>
      <w:rPr>
        <w:rFonts w:ascii="Arial" w:hAnsi="Arial" w:hint="default"/>
      </w:rPr>
    </w:lvl>
    <w:lvl w:ilvl="8" w:tplc="CF301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646FF7"/>
    <w:multiLevelType w:val="hybridMultilevel"/>
    <w:tmpl w:val="3886FF06"/>
    <w:lvl w:ilvl="0" w:tplc="12D49122">
      <w:start w:val="1"/>
      <w:numFmt w:val="bullet"/>
      <w:lvlText w:val=""/>
      <w:lvlJc w:val="left"/>
      <w:pPr>
        <w:tabs>
          <w:tab w:val="num" w:pos="720"/>
        </w:tabs>
        <w:ind w:left="720" w:hanging="360"/>
      </w:pPr>
      <w:rPr>
        <w:rFonts w:ascii="Symbol" w:hAnsi="Symbol" w:hint="default"/>
      </w:rPr>
    </w:lvl>
    <w:lvl w:ilvl="1" w:tplc="68AAA3FC" w:tentative="1">
      <w:start w:val="1"/>
      <w:numFmt w:val="bullet"/>
      <w:lvlText w:val=""/>
      <w:lvlJc w:val="left"/>
      <w:pPr>
        <w:tabs>
          <w:tab w:val="num" w:pos="1440"/>
        </w:tabs>
        <w:ind w:left="1440" w:hanging="360"/>
      </w:pPr>
      <w:rPr>
        <w:rFonts w:ascii="Symbol" w:hAnsi="Symbol" w:hint="default"/>
      </w:rPr>
    </w:lvl>
    <w:lvl w:ilvl="2" w:tplc="A8100430" w:tentative="1">
      <w:start w:val="1"/>
      <w:numFmt w:val="bullet"/>
      <w:lvlText w:val=""/>
      <w:lvlJc w:val="left"/>
      <w:pPr>
        <w:tabs>
          <w:tab w:val="num" w:pos="2160"/>
        </w:tabs>
        <w:ind w:left="2160" w:hanging="360"/>
      </w:pPr>
      <w:rPr>
        <w:rFonts w:ascii="Symbol" w:hAnsi="Symbol" w:hint="default"/>
      </w:rPr>
    </w:lvl>
    <w:lvl w:ilvl="3" w:tplc="2700ABE4" w:tentative="1">
      <w:start w:val="1"/>
      <w:numFmt w:val="bullet"/>
      <w:lvlText w:val=""/>
      <w:lvlJc w:val="left"/>
      <w:pPr>
        <w:tabs>
          <w:tab w:val="num" w:pos="2880"/>
        </w:tabs>
        <w:ind w:left="2880" w:hanging="360"/>
      </w:pPr>
      <w:rPr>
        <w:rFonts w:ascii="Symbol" w:hAnsi="Symbol" w:hint="default"/>
      </w:rPr>
    </w:lvl>
    <w:lvl w:ilvl="4" w:tplc="FFC827F2" w:tentative="1">
      <w:start w:val="1"/>
      <w:numFmt w:val="bullet"/>
      <w:lvlText w:val=""/>
      <w:lvlJc w:val="left"/>
      <w:pPr>
        <w:tabs>
          <w:tab w:val="num" w:pos="3600"/>
        </w:tabs>
        <w:ind w:left="3600" w:hanging="360"/>
      </w:pPr>
      <w:rPr>
        <w:rFonts w:ascii="Symbol" w:hAnsi="Symbol" w:hint="default"/>
      </w:rPr>
    </w:lvl>
    <w:lvl w:ilvl="5" w:tplc="B9020CDA" w:tentative="1">
      <w:start w:val="1"/>
      <w:numFmt w:val="bullet"/>
      <w:lvlText w:val=""/>
      <w:lvlJc w:val="left"/>
      <w:pPr>
        <w:tabs>
          <w:tab w:val="num" w:pos="4320"/>
        </w:tabs>
        <w:ind w:left="4320" w:hanging="360"/>
      </w:pPr>
      <w:rPr>
        <w:rFonts w:ascii="Symbol" w:hAnsi="Symbol" w:hint="default"/>
      </w:rPr>
    </w:lvl>
    <w:lvl w:ilvl="6" w:tplc="80AA66BC" w:tentative="1">
      <w:start w:val="1"/>
      <w:numFmt w:val="bullet"/>
      <w:lvlText w:val=""/>
      <w:lvlJc w:val="left"/>
      <w:pPr>
        <w:tabs>
          <w:tab w:val="num" w:pos="5040"/>
        </w:tabs>
        <w:ind w:left="5040" w:hanging="360"/>
      </w:pPr>
      <w:rPr>
        <w:rFonts w:ascii="Symbol" w:hAnsi="Symbol" w:hint="default"/>
      </w:rPr>
    </w:lvl>
    <w:lvl w:ilvl="7" w:tplc="B3320F32" w:tentative="1">
      <w:start w:val="1"/>
      <w:numFmt w:val="bullet"/>
      <w:lvlText w:val=""/>
      <w:lvlJc w:val="left"/>
      <w:pPr>
        <w:tabs>
          <w:tab w:val="num" w:pos="5760"/>
        </w:tabs>
        <w:ind w:left="5760" w:hanging="360"/>
      </w:pPr>
      <w:rPr>
        <w:rFonts w:ascii="Symbol" w:hAnsi="Symbol" w:hint="default"/>
      </w:rPr>
    </w:lvl>
    <w:lvl w:ilvl="8" w:tplc="714843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7312D3"/>
    <w:multiLevelType w:val="hybridMultilevel"/>
    <w:tmpl w:val="CDFA8212"/>
    <w:lvl w:ilvl="0" w:tplc="78E2E098">
      <w:start w:val="1"/>
      <w:numFmt w:val="bullet"/>
      <w:lvlText w:val=""/>
      <w:lvlJc w:val="left"/>
      <w:pPr>
        <w:tabs>
          <w:tab w:val="num" w:pos="720"/>
        </w:tabs>
        <w:ind w:left="720" w:hanging="360"/>
      </w:pPr>
      <w:rPr>
        <w:rFonts w:ascii="Symbol" w:hAnsi="Symbol" w:hint="default"/>
      </w:rPr>
    </w:lvl>
    <w:lvl w:ilvl="1" w:tplc="CA6654F4" w:tentative="1">
      <w:start w:val="1"/>
      <w:numFmt w:val="bullet"/>
      <w:lvlText w:val=""/>
      <w:lvlJc w:val="left"/>
      <w:pPr>
        <w:tabs>
          <w:tab w:val="num" w:pos="1440"/>
        </w:tabs>
        <w:ind w:left="1440" w:hanging="360"/>
      </w:pPr>
      <w:rPr>
        <w:rFonts w:ascii="Symbol" w:hAnsi="Symbol" w:hint="default"/>
      </w:rPr>
    </w:lvl>
    <w:lvl w:ilvl="2" w:tplc="7D7EE230" w:tentative="1">
      <w:start w:val="1"/>
      <w:numFmt w:val="bullet"/>
      <w:lvlText w:val=""/>
      <w:lvlJc w:val="left"/>
      <w:pPr>
        <w:tabs>
          <w:tab w:val="num" w:pos="2160"/>
        </w:tabs>
        <w:ind w:left="2160" w:hanging="360"/>
      </w:pPr>
      <w:rPr>
        <w:rFonts w:ascii="Symbol" w:hAnsi="Symbol" w:hint="default"/>
      </w:rPr>
    </w:lvl>
    <w:lvl w:ilvl="3" w:tplc="F350DE54" w:tentative="1">
      <w:start w:val="1"/>
      <w:numFmt w:val="bullet"/>
      <w:lvlText w:val=""/>
      <w:lvlJc w:val="left"/>
      <w:pPr>
        <w:tabs>
          <w:tab w:val="num" w:pos="2880"/>
        </w:tabs>
        <w:ind w:left="2880" w:hanging="360"/>
      </w:pPr>
      <w:rPr>
        <w:rFonts w:ascii="Symbol" w:hAnsi="Symbol" w:hint="default"/>
      </w:rPr>
    </w:lvl>
    <w:lvl w:ilvl="4" w:tplc="EAA8AC3A" w:tentative="1">
      <w:start w:val="1"/>
      <w:numFmt w:val="bullet"/>
      <w:lvlText w:val=""/>
      <w:lvlJc w:val="left"/>
      <w:pPr>
        <w:tabs>
          <w:tab w:val="num" w:pos="3600"/>
        </w:tabs>
        <w:ind w:left="3600" w:hanging="360"/>
      </w:pPr>
      <w:rPr>
        <w:rFonts w:ascii="Symbol" w:hAnsi="Symbol" w:hint="default"/>
      </w:rPr>
    </w:lvl>
    <w:lvl w:ilvl="5" w:tplc="DD965D78" w:tentative="1">
      <w:start w:val="1"/>
      <w:numFmt w:val="bullet"/>
      <w:lvlText w:val=""/>
      <w:lvlJc w:val="left"/>
      <w:pPr>
        <w:tabs>
          <w:tab w:val="num" w:pos="4320"/>
        </w:tabs>
        <w:ind w:left="4320" w:hanging="360"/>
      </w:pPr>
      <w:rPr>
        <w:rFonts w:ascii="Symbol" w:hAnsi="Symbol" w:hint="default"/>
      </w:rPr>
    </w:lvl>
    <w:lvl w:ilvl="6" w:tplc="5A3E564A" w:tentative="1">
      <w:start w:val="1"/>
      <w:numFmt w:val="bullet"/>
      <w:lvlText w:val=""/>
      <w:lvlJc w:val="left"/>
      <w:pPr>
        <w:tabs>
          <w:tab w:val="num" w:pos="5040"/>
        </w:tabs>
        <w:ind w:left="5040" w:hanging="360"/>
      </w:pPr>
      <w:rPr>
        <w:rFonts w:ascii="Symbol" w:hAnsi="Symbol" w:hint="default"/>
      </w:rPr>
    </w:lvl>
    <w:lvl w:ilvl="7" w:tplc="CF162B06" w:tentative="1">
      <w:start w:val="1"/>
      <w:numFmt w:val="bullet"/>
      <w:lvlText w:val=""/>
      <w:lvlJc w:val="left"/>
      <w:pPr>
        <w:tabs>
          <w:tab w:val="num" w:pos="5760"/>
        </w:tabs>
        <w:ind w:left="5760" w:hanging="360"/>
      </w:pPr>
      <w:rPr>
        <w:rFonts w:ascii="Symbol" w:hAnsi="Symbol" w:hint="default"/>
      </w:rPr>
    </w:lvl>
    <w:lvl w:ilvl="8" w:tplc="CB4A90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9C43646"/>
    <w:multiLevelType w:val="hybridMultilevel"/>
    <w:tmpl w:val="C47C517E"/>
    <w:lvl w:ilvl="0" w:tplc="B96AB282">
      <w:start w:val="1"/>
      <w:numFmt w:val="bullet"/>
      <w:lvlText w:val="-"/>
      <w:lvlJc w:val="left"/>
      <w:pPr>
        <w:tabs>
          <w:tab w:val="num" w:pos="720"/>
        </w:tabs>
        <w:ind w:left="720" w:hanging="360"/>
      </w:pPr>
      <w:rPr>
        <w:rFonts w:ascii="Arial" w:hAnsi="Arial" w:hint="default"/>
      </w:rPr>
    </w:lvl>
    <w:lvl w:ilvl="1" w:tplc="A9EC57FC" w:tentative="1">
      <w:start w:val="1"/>
      <w:numFmt w:val="bullet"/>
      <w:lvlText w:val="-"/>
      <w:lvlJc w:val="left"/>
      <w:pPr>
        <w:tabs>
          <w:tab w:val="num" w:pos="1440"/>
        </w:tabs>
        <w:ind w:left="1440" w:hanging="360"/>
      </w:pPr>
      <w:rPr>
        <w:rFonts w:ascii="Arial" w:hAnsi="Arial" w:hint="default"/>
      </w:rPr>
    </w:lvl>
    <w:lvl w:ilvl="2" w:tplc="CB1436D6" w:tentative="1">
      <w:start w:val="1"/>
      <w:numFmt w:val="bullet"/>
      <w:lvlText w:val="-"/>
      <w:lvlJc w:val="left"/>
      <w:pPr>
        <w:tabs>
          <w:tab w:val="num" w:pos="2160"/>
        </w:tabs>
        <w:ind w:left="2160" w:hanging="360"/>
      </w:pPr>
      <w:rPr>
        <w:rFonts w:ascii="Arial" w:hAnsi="Arial" w:hint="default"/>
      </w:rPr>
    </w:lvl>
    <w:lvl w:ilvl="3" w:tplc="1480EF2E" w:tentative="1">
      <w:start w:val="1"/>
      <w:numFmt w:val="bullet"/>
      <w:lvlText w:val="-"/>
      <w:lvlJc w:val="left"/>
      <w:pPr>
        <w:tabs>
          <w:tab w:val="num" w:pos="2880"/>
        </w:tabs>
        <w:ind w:left="2880" w:hanging="360"/>
      </w:pPr>
      <w:rPr>
        <w:rFonts w:ascii="Arial" w:hAnsi="Arial" w:hint="default"/>
      </w:rPr>
    </w:lvl>
    <w:lvl w:ilvl="4" w:tplc="6AF0FE68" w:tentative="1">
      <w:start w:val="1"/>
      <w:numFmt w:val="bullet"/>
      <w:lvlText w:val="-"/>
      <w:lvlJc w:val="left"/>
      <w:pPr>
        <w:tabs>
          <w:tab w:val="num" w:pos="3600"/>
        </w:tabs>
        <w:ind w:left="3600" w:hanging="360"/>
      </w:pPr>
      <w:rPr>
        <w:rFonts w:ascii="Arial" w:hAnsi="Arial" w:hint="default"/>
      </w:rPr>
    </w:lvl>
    <w:lvl w:ilvl="5" w:tplc="7506D520" w:tentative="1">
      <w:start w:val="1"/>
      <w:numFmt w:val="bullet"/>
      <w:lvlText w:val="-"/>
      <w:lvlJc w:val="left"/>
      <w:pPr>
        <w:tabs>
          <w:tab w:val="num" w:pos="4320"/>
        </w:tabs>
        <w:ind w:left="4320" w:hanging="360"/>
      </w:pPr>
      <w:rPr>
        <w:rFonts w:ascii="Arial" w:hAnsi="Arial" w:hint="default"/>
      </w:rPr>
    </w:lvl>
    <w:lvl w:ilvl="6" w:tplc="DD9667A4" w:tentative="1">
      <w:start w:val="1"/>
      <w:numFmt w:val="bullet"/>
      <w:lvlText w:val="-"/>
      <w:lvlJc w:val="left"/>
      <w:pPr>
        <w:tabs>
          <w:tab w:val="num" w:pos="5040"/>
        </w:tabs>
        <w:ind w:left="5040" w:hanging="360"/>
      </w:pPr>
      <w:rPr>
        <w:rFonts w:ascii="Arial" w:hAnsi="Arial" w:hint="default"/>
      </w:rPr>
    </w:lvl>
    <w:lvl w:ilvl="7" w:tplc="6EFAD736" w:tentative="1">
      <w:start w:val="1"/>
      <w:numFmt w:val="bullet"/>
      <w:lvlText w:val="-"/>
      <w:lvlJc w:val="left"/>
      <w:pPr>
        <w:tabs>
          <w:tab w:val="num" w:pos="5760"/>
        </w:tabs>
        <w:ind w:left="5760" w:hanging="360"/>
      </w:pPr>
      <w:rPr>
        <w:rFonts w:ascii="Arial" w:hAnsi="Arial" w:hint="default"/>
      </w:rPr>
    </w:lvl>
    <w:lvl w:ilvl="8" w:tplc="CD2C9E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115F4D"/>
    <w:multiLevelType w:val="hybridMultilevel"/>
    <w:tmpl w:val="C67AB2E2"/>
    <w:lvl w:ilvl="0" w:tplc="178E2390">
      <w:start w:val="1"/>
      <w:numFmt w:val="bullet"/>
      <w:lvlText w:val="•"/>
      <w:lvlJc w:val="left"/>
      <w:pPr>
        <w:tabs>
          <w:tab w:val="num" w:pos="720"/>
        </w:tabs>
        <w:ind w:left="720" w:hanging="360"/>
      </w:pPr>
      <w:rPr>
        <w:rFonts w:ascii="Arial" w:hAnsi="Arial" w:hint="default"/>
      </w:rPr>
    </w:lvl>
    <w:lvl w:ilvl="1" w:tplc="CBD4FD38" w:tentative="1">
      <w:start w:val="1"/>
      <w:numFmt w:val="bullet"/>
      <w:lvlText w:val="•"/>
      <w:lvlJc w:val="left"/>
      <w:pPr>
        <w:tabs>
          <w:tab w:val="num" w:pos="1440"/>
        </w:tabs>
        <w:ind w:left="1440" w:hanging="360"/>
      </w:pPr>
      <w:rPr>
        <w:rFonts w:ascii="Arial" w:hAnsi="Arial" w:hint="default"/>
      </w:rPr>
    </w:lvl>
    <w:lvl w:ilvl="2" w:tplc="D0000E5C" w:tentative="1">
      <w:start w:val="1"/>
      <w:numFmt w:val="bullet"/>
      <w:lvlText w:val="•"/>
      <w:lvlJc w:val="left"/>
      <w:pPr>
        <w:tabs>
          <w:tab w:val="num" w:pos="2160"/>
        </w:tabs>
        <w:ind w:left="2160" w:hanging="360"/>
      </w:pPr>
      <w:rPr>
        <w:rFonts w:ascii="Arial" w:hAnsi="Arial" w:hint="default"/>
      </w:rPr>
    </w:lvl>
    <w:lvl w:ilvl="3" w:tplc="4BF44B60" w:tentative="1">
      <w:start w:val="1"/>
      <w:numFmt w:val="bullet"/>
      <w:lvlText w:val="•"/>
      <w:lvlJc w:val="left"/>
      <w:pPr>
        <w:tabs>
          <w:tab w:val="num" w:pos="2880"/>
        </w:tabs>
        <w:ind w:left="2880" w:hanging="360"/>
      </w:pPr>
      <w:rPr>
        <w:rFonts w:ascii="Arial" w:hAnsi="Arial" w:hint="default"/>
      </w:rPr>
    </w:lvl>
    <w:lvl w:ilvl="4" w:tplc="1DF215A0" w:tentative="1">
      <w:start w:val="1"/>
      <w:numFmt w:val="bullet"/>
      <w:lvlText w:val="•"/>
      <w:lvlJc w:val="left"/>
      <w:pPr>
        <w:tabs>
          <w:tab w:val="num" w:pos="3600"/>
        </w:tabs>
        <w:ind w:left="3600" w:hanging="360"/>
      </w:pPr>
      <w:rPr>
        <w:rFonts w:ascii="Arial" w:hAnsi="Arial" w:hint="default"/>
      </w:rPr>
    </w:lvl>
    <w:lvl w:ilvl="5" w:tplc="0EFE8E6E" w:tentative="1">
      <w:start w:val="1"/>
      <w:numFmt w:val="bullet"/>
      <w:lvlText w:val="•"/>
      <w:lvlJc w:val="left"/>
      <w:pPr>
        <w:tabs>
          <w:tab w:val="num" w:pos="4320"/>
        </w:tabs>
        <w:ind w:left="4320" w:hanging="360"/>
      </w:pPr>
      <w:rPr>
        <w:rFonts w:ascii="Arial" w:hAnsi="Arial" w:hint="default"/>
      </w:rPr>
    </w:lvl>
    <w:lvl w:ilvl="6" w:tplc="9FBC5A3A" w:tentative="1">
      <w:start w:val="1"/>
      <w:numFmt w:val="bullet"/>
      <w:lvlText w:val="•"/>
      <w:lvlJc w:val="left"/>
      <w:pPr>
        <w:tabs>
          <w:tab w:val="num" w:pos="5040"/>
        </w:tabs>
        <w:ind w:left="5040" w:hanging="360"/>
      </w:pPr>
      <w:rPr>
        <w:rFonts w:ascii="Arial" w:hAnsi="Arial" w:hint="default"/>
      </w:rPr>
    </w:lvl>
    <w:lvl w:ilvl="7" w:tplc="BA280EC8" w:tentative="1">
      <w:start w:val="1"/>
      <w:numFmt w:val="bullet"/>
      <w:lvlText w:val="•"/>
      <w:lvlJc w:val="left"/>
      <w:pPr>
        <w:tabs>
          <w:tab w:val="num" w:pos="5760"/>
        </w:tabs>
        <w:ind w:left="5760" w:hanging="360"/>
      </w:pPr>
      <w:rPr>
        <w:rFonts w:ascii="Arial" w:hAnsi="Arial" w:hint="default"/>
      </w:rPr>
    </w:lvl>
    <w:lvl w:ilvl="8" w:tplc="7B6C52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MDQ1MDc3MTYztDRU0lEKTi0uzszPAykwrAUA14fcLywAAAA="/>
  </w:docVars>
  <w:rsids>
    <w:rsidRoot w:val="0009393C"/>
    <w:rsid w:val="0009393C"/>
    <w:rsid w:val="000A3ADE"/>
    <w:rsid w:val="003129C0"/>
    <w:rsid w:val="00344B48"/>
    <w:rsid w:val="004E4AA1"/>
    <w:rsid w:val="00501137"/>
    <w:rsid w:val="00771B8A"/>
    <w:rsid w:val="007F5719"/>
    <w:rsid w:val="008853D4"/>
    <w:rsid w:val="008F630C"/>
    <w:rsid w:val="0092598E"/>
    <w:rsid w:val="00962687"/>
    <w:rsid w:val="009801C1"/>
    <w:rsid w:val="00B253D9"/>
    <w:rsid w:val="00D86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387B-B076-490A-A012-C0CA0ABC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7"/>
    <w:pPr>
      <w:spacing w:before="280" w:after="280" w:line="276" w:lineRule="auto"/>
    </w:pPr>
    <w:rPr>
      <w:rFonts w:cstheme="minorBidi"/>
      <w:szCs w:val="22"/>
      <w:lang w:val="en-GB"/>
    </w:rPr>
  </w:style>
  <w:style w:type="paragraph" w:styleId="Heading1">
    <w:name w:val="heading 1"/>
    <w:basedOn w:val="Normal"/>
    <w:next w:val="Normal"/>
    <w:link w:val="Heading1Char"/>
    <w:autoRedefine/>
    <w:uiPriority w:val="9"/>
    <w:qFormat/>
    <w:rsid w:val="008F630C"/>
    <w:pPr>
      <w:keepNext/>
      <w:keepLines/>
      <w:spacing w:before="0" w:after="120"/>
      <w:outlineLvl w:val="0"/>
    </w:pPr>
    <w:rPr>
      <w:rFonts w:eastAsiaTheme="majorEastAsia" w:cstheme="majorBidi"/>
      <w:b/>
      <w:bCs/>
      <w:color w:val="00767F"/>
      <w:sz w:val="44"/>
      <w:szCs w:val="28"/>
      <w:lang w:val="en-AU"/>
    </w:rPr>
  </w:style>
  <w:style w:type="paragraph" w:styleId="Heading2">
    <w:name w:val="heading 2"/>
    <w:basedOn w:val="Normal"/>
    <w:next w:val="Normal"/>
    <w:link w:val="Heading2Char"/>
    <w:autoRedefine/>
    <w:uiPriority w:val="9"/>
    <w:unhideWhenUsed/>
    <w:qFormat/>
    <w:rsid w:val="00D864F0"/>
    <w:pPr>
      <w:keepNext/>
      <w:keepLines/>
      <w:spacing w:before="120" w:after="0" w:line="240" w:lineRule="auto"/>
      <w:outlineLvl w:val="1"/>
    </w:pPr>
    <w:rPr>
      <w:rFonts w:eastAsiaTheme="majorEastAsia" w:cstheme="majorBidi"/>
      <w:b/>
      <w:bCs/>
      <w:color w:val="00767F"/>
      <w:sz w:val="28"/>
      <w:szCs w:val="26"/>
      <w:lang w:val="en-AU" w:eastAsia="en-AU"/>
    </w:rPr>
  </w:style>
  <w:style w:type="paragraph" w:styleId="Heading3">
    <w:name w:val="heading 3"/>
    <w:basedOn w:val="Normal"/>
    <w:next w:val="Normal"/>
    <w:link w:val="Heading3Char"/>
    <w:autoRedefine/>
    <w:uiPriority w:val="9"/>
    <w:unhideWhenUsed/>
    <w:qFormat/>
    <w:rsid w:val="000A3ADE"/>
    <w:pPr>
      <w:keepNext/>
      <w:keepLines/>
      <w:spacing w:before="0" w:after="160" w:line="300" w:lineRule="auto"/>
      <w:outlineLvl w:val="2"/>
    </w:pPr>
    <w:rPr>
      <w:rFonts w:eastAsiaTheme="majorEastAsia" w:cstheme="majorBidi"/>
      <w:b/>
      <w:sz w:val="26"/>
      <w:szCs w:val="24"/>
      <w:u w:val="single"/>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0C"/>
    <w:rPr>
      <w:rFonts w:eastAsiaTheme="majorEastAsia" w:cstheme="majorBidi"/>
      <w:b/>
      <w:bCs/>
      <w:color w:val="00767F"/>
      <w:sz w:val="44"/>
      <w:szCs w:val="28"/>
    </w:rPr>
  </w:style>
  <w:style w:type="character" w:customStyle="1" w:styleId="Heading2Char">
    <w:name w:val="Heading 2 Char"/>
    <w:basedOn w:val="DefaultParagraphFont"/>
    <w:link w:val="Heading2"/>
    <w:uiPriority w:val="9"/>
    <w:rsid w:val="00D864F0"/>
    <w:rPr>
      <w:rFonts w:eastAsiaTheme="majorEastAsia" w:cstheme="majorBidi"/>
      <w:b/>
      <w:bCs/>
      <w:color w:val="00767F"/>
      <w:sz w:val="28"/>
      <w:szCs w:val="26"/>
      <w:lang w:eastAsia="en-AU"/>
    </w:rPr>
  </w:style>
  <w:style w:type="character" w:customStyle="1" w:styleId="Heading3Char">
    <w:name w:val="Heading 3 Char"/>
    <w:basedOn w:val="DefaultParagraphFont"/>
    <w:link w:val="Heading3"/>
    <w:uiPriority w:val="9"/>
    <w:rsid w:val="000A3ADE"/>
    <w:rPr>
      <w:rFonts w:eastAsiaTheme="majorEastAsia" w:cstheme="majorBidi"/>
      <w:b/>
      <w:sz w:val="26"/>
      <w:u w:val="single"/>
    </w:rPr>
  </w:style>
  <w:style w:type="character" w:styleId="Strong">
    <w:name w:val="Strong"/>
    <w:basedOn w:val="DefaultParagraphFont"/>
    <w:uiPriority w:val="22"/>
    <w:qFormat/>
    <w:rsid w:val="008853D4"/>
    <w:rPr>
      <w:rFonts w:ascii="Arial" w:hAnsi="Arial"/>
      <w:b/>
      <w:bCs/>
      <w:color w:val="auto"/>
      <w:sz w:val="24"/>
    </w:rPr>
  </w:style>
  <w:style w:type="paragraph" w:styleId="ListParagraph">
    <w:name w:val="List Paragraph"/>
    <w:basedOn w:val="Normal"/>
    <w:uiPriority w:val="34"/>
    <w:qFormat/>
    <w:rsid w:val="0009393C"/>
    <w:pPr>
      <w:ind w:left="720"/>
      <w:contextualSpacing/>
    </w:pPr>
  </w:style>
  <w:style w:type="character" w:styleId="Hyperlink">
    <w:name w:val="Hyperlink"/>
    <w:basedOn w:val="DefaultParagraphFont"/>
    <w:uiPriority w:val="99"/>
    <w:unhideWhenUsed/>
    <w:rsid w:val="00501137"/>
    <w:rPr>
      <w:color w:val="0563C1" w:themeColor="hyperlink"/>
      <w:u w:val="single"/>
    </w:rPr>
  </w:style>
  <w:style w:type="paragraph" w:styleId="NormalWeb">
    <w:name w:val="Normal (Web)"/>
    <w:basedOn w:val="Normal"/>
    <w:uiPriority w:val="99"/>
    <w:semiHidden/>
    <w:unhideWhenUsed/>
    <w:rsid w:val="00501137"/>
    <w:pPr>
      <w:spacing w:before="100" w:beforeAutospacing="1" w:after="100" w:afterAutospacing="1" w:line="240" w:lineRule="auto"/>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675">
      <w:bodyDiv w:val="1"/>
      <w:marLeft w:val="0"/>
      <w:marRight w:val="0"/>
      <w:marTop w:val="0"/>
      <w:marBottom w:val="0"/>
      <w:divBdr>
        <w:top w:val="none" w:sz="0" w:space="0" w:color="auto"/>
        <w:left w:val="none" w:sz="0" w:space="0" w:color="auto"/>
        <w:bottom w:val="none" w:sz="0" w:space="0" w:color="auto"/>
        <w:right w:val="none" w:sz="0" w:space="0" w:color="auto"/>
      </w:divBdr>
      <w:divsChild>
        <w:div w:id="1830513651">
          <w:marLeft w:val="547"/>
          <w:marRight w:val="0"/>
          <w:marTop w:val="200"/>
          <w:marBottom w:val="0"/>
          <w:divBdr>
            <w:top w:val="none" w:sz="0" w:space="0" w:color="auto"/>
            <w:left w:val="none" w:sz="0" w:space="0" w:color="auto"/>
            <w:bottom w:val="none" w:sz="0" w:space="0" w:color="auto"/>
            <w:right w:val="none" w:sz="0" w:space="0" w:color="auto"/>
          </w:divBdr>
        </w:div>
        <w:div w:id="362950330">
          <w:marLeft w:val="547"/>
          <w:marRight w:val="0"/>
          <w:marTop w:val="200"/>
          <w:marBottom w:val="0"/>
          <w:divBdr>
            <w:top w:val="none" w:sz="0" w:space="0" w:color="auto"/>
            <w:left w:val="none" w:sz="0" w:space="0" w:color="auto"/>
            <w:bottom w:val="none" w:sz="0" w:space="0" w:color="auto"/>
            <w:right w:val="none" w:sz="0" w:space="0" w:color="auto"/>
          </w:divBdr>
        </w:div>
        <w:div w:id="734160764">
          <w:marLeft w:val="547"/>
          <w:marRight w:val="0"/>
          <w:marTop w:val="200"/>
          <w:marBottom w:val="0"/>
          <w:divBdr>
            <w:top w:val="none" w:sz="0" w:space="0" w:color="auto"/>
            <w:left w:val="none" w:sz="0" w:space="0" w:color="auto"/>
            <w:bottom w:val="none" w:sz="0" w:space="0" w:color="auto"/>
            <w:right w:val="none" w:sz="0" w:space="0" w:color="auto"/>
          </w:divBdr>
        </w:div>
        <w:div w:id="255019517">
          <w:marLeft w:val="547"/>
          <w:marRight w:val="0"/>
          <w:marTop w:val="200"/>
          <w:marBottom w:val="0"/>
          <w:divBdr>
            <w:top w:val="none" w:sz="0" w:space="0" w:color="auto"/>
            <w:left w:val="none" w:sz="0" w:space="0" w:color="auto"/>
            <w:bottom w:val="none" w:sz="0" w:space="0" w:color="auto"/>
            <w:right w:val="none" w:sz="0" w:space="0" w:color="auto"/>
          </w:divBdr>
        </w:div>
        <w:div w:id="1360740420">
          <w:marLeft w:val="547"/>
          <w:marRight w:val="0"/>
          <w:marTop w:val="200"/>
          <w:marBottom w:val="0"/>
          <w:divBdr>
            <w:top w:val="none" w:sz="0" w:space="0" w:color="auto"/>
            <w:left w:val="none" w:sz="0" w:space="0" w:color="auto"/>
            <w:bottom w:val="none" w:sz="0" w:space="0" w:color="auto"/>
            <w:right w:val="none" w:sz="0" w:space="0" w:color="auto"/>
          </w:divBdr>
        </w:div>
        <w:div w:id="367492859">
          <w:marLeft w:val="547"/>
          <w:marRight w:val="0"/>
          <w:marTop w:val="200"/>
          <w:marBottom w:val="160"/>
          <w:divBdr>
            <w:top w:val="none" w:sz="0" w:space="0" w:color="auto"/>
            <w:left w:val="none" w:sz="0" w:space="0" w:color="auto"/>
            <w:bottom w:val="none" w:sz="0" w:space="0" w:color="auto"/>
            <w:right w:val="none" w:sz="0" w:space="0" w:color="auto"/>
          </w:divBdr>
        </w:div>
      </w:divsChild>
    </w:div>
    <w:div w:id="80877078">
      <w:bodyDiv w:val="1"/>
      <w:marLeft w:val="0"/>
      <w:marRight w:val="0"/>
      <w:marTop w:val="0"/>
      <w:marBottom w:val="0"/>
      <w:divBdr>
        <w:top w:val="none" w:sz="0" w:space="0" w:color="auto"/>
        <w:left w:val="none" w:sz="0" w:space="0" w:color="auto"/>
        <w:bottom w:val="none" w:sz="0" w:space="0" w:color="auto"/>
        <w:right w:val="none" w:sz="0" w:space="0" w:color="auto"/>
      </w:divBdr>
    </w:div>
    <w:div w:id="190073663">
      <w:bodyDiv w:val="1"/>
      <w:marLeft w:val="0"/>
      <w:marRight w:val="0"/>
      <w:marTop w:val="0"/>
      <w:marBottom w:val="0"/>
      <w:divBdr>
        <w:top w:val="none" w:sz="0" w:space="0" w:color="auto"/>
        <w:left w:val="none" w:sz="0" w:space="0" w:color="auto"/>
        <w:bottom w:val="none" w:sz="0" w:space="0" w:color="auto"/>
        <w:right w:val="none" w:sz="0" w:space="0" w:color="auto"/>
      </w:divBdr>
      <w:divsChild>
        <w:div w:id="1366101888">
          <w:marLeft w:val="547"/>
          <w:marRight w:val="0"/>
          <w:marTop w:val="200"/>
          <w:marBottom w:val="0"/>
          <w:divBdr>
            <w:top w:val="none" w:sz="0" w:space="0" w:color="auto"/>
            <w:left w:val="none" w:sz="0" w:space="0" w:color="auto"/>
            <w:bottom w:val="none" w:sz="0" w:space="0" w:color="auto"/>
            <w:right w:val="none" w:sz="0" w:space="0" w:color="auto"/>
          </w:divBdr>
        </w:div>
        <w:div w:id="1448088330">
          <w:marLeft w:val="547"/>
          <w:marRight w:val="0"/>
          <w:marTop w:val="200"/>
          <w:marBottom w:val="0"/>
          <w:divBdr>
            <w:top w:val="none" w:sz="0" w:space="0" w:color="auto"/>
            <w:left w:val="none" w:sz="0" w:space="0" w:color="auto"/>
            <w:bottom w:val="none" w:sz="0" w:space="0" w:color="auto"/>
            <w:right w:val="none" w:sz="0" w:space="0" w:color="auto"/>
          </w:divBdr>
        </w:div>
        <w:div w:id="361906243">
          <w:marLeft w:val="547"/>
          <w:marRight w:val="0"/>
          <w:marTop w:val="200"/>
          <w:marBottom w:val="0"/>
          <w:divBdr>
            <w:top w:val="none" w:sz="0" w:space="0" w:color="auto"/>
            <w:left w:val="none" w:sz="0" w:space="0" w:color="auto"/>
            <w:bottom w:val="none" w:sz="0" w:space="0" w:color="auto"/>
            <w:right w:val="none" w:sz="0" w:space="0" w:color="auto"/>
          </w:divBdr>
        </w:div>
        <w:div w:id="206796704">
          <w:marLeft w:val="547"/>
          <w:marRight w:val="0"/>
          <w:marTop w:val="200"/>
          <w:marBottom w:val="0"/>
          <w:divBdr>
            <w:top w:val="none" w:sz="0" w:space="0" w:color="auto"/>
            <w:left w:val="none" w:sz="0" w:space="0" w:color="auto"/>
            <w:bottom w:val="none" w:sz="0" w:space="0" w:color="auto"/>
            <w:right w:val="none" w:sz="0" w:space="0" w:color="auto"/>
          </w:divBdr>
        </w:div>
        <w:div w:id="2056848879">
          <w:marLeft w:val="547"/>
          <w:marRight w:val="0"/>
          <w:marTop w:val="200"/>
          <w:marBottom w:val="0"/>
          <w:divBdr>
            <w:top w:val="none" w:sz="0" w:space="0" w:color="auto"/>
            <w:left w:val="none" w:sz="0" w:space="0" w:color="auto"/>
            <w:bottom w:val="none" w:sz="0" w:space="0" w:color="auto"/>
            <w:right w:val="none" w:sz="0" w:space="0" w:color="auto"/>
          </w:divBdr>
        </w:div>
        <w:div w:id="1995406672">
          <w:marLeft w:val="547"/>
          <w:marRight w:val="0"/>
          <w:marTop w:val="200"/>
          <w:marBottom w:val="0"/>
          <w:divBdr>
            <w:top w:val="none" w:sz="0" w:space="0" w:color="auto"/>
            <w:left w:val="none" w:sz="0" w:space="0" w:color="auto"/>
            <w:bottom w:val="none" w:sz="0" w:space="0" w:color="auto"/>
            <w:right w:val="none" w:sz="0" w:space="0" w:color="auto"/>
          </w:divBdr>
        </w:div>
        <w:div w:id="673530580">
          <w:marLeft w:val="547"/>
          <w:marRight w:val="0"/>
          <w:marTop w:val="200"/>
          <w:marBottom w:val="0"/>
          <w:divBdr>
            <w:top w:val="none" w:sz="0" w:space="0" w:color="auto"/>
            <w:left w:val="none" w:sz="0" w:space="0" w:color="auto"/>
            <w:bottom w:val="none" w:sz="0" w:space="0" w:color="auto"/>
            <w:right w:val="none" w:sz="0" w:space="0" w:color="auto"/>
          </w:divBdr>
        </w:div>
        <w:div w:id="1454908155">
          <w:marLeft w:val="547"/>
          <w:marRight w:val="0"/>
          <w:marTop w:val="200"/>
          <w:marBottom w:val="0"/>
          <w:divBdr>
            <w:top w:val="none" w:sz="0" w:space="0" w:color="auto"/>
            <w:left w:val="none" w:sz="0" w:space="0" w:color="auto"/>
            <w:bottom w:val="none" w:sz="0" w:space="0" w:color="auto"/>
            <w:right w:val="none" w:sz="0" w:space="0" w:color="auto"/>
          </w:divBdr>
        </w:div>
        <w:div w:id="329648602">
          <w:marLeft w:val="547"/>
          <w:marRight w:val="0"/>
          <w:marTop w:val="200"/>
          <w:marBottom w:val="160"/>
          <w:divBdr>
            <w:top w:val="none" w:sz="0" w:space="0" w:color="auto"/>
            <w:left w:val="none" w:sz="0" w:space="0" w:color="auto"/>
            <w:bottom w:val="none" w:sz="0" w:space="0" w:color="auto"/>
            <w:right w:val="none" w:sz="0" w:space="0" w:color="auto"/>
          </w:divBdr>
        </w:div>
      </w:divsChild>
    </w:div>
    <w:div w:id="305865642">
      <w:bodyDiv w:val="1"/>
      <w:marLeft w:val="0"/>
      <w:marRight w:val="0"/>
      <w:marTop w:val="0"/>
      <w:marBottom w:val="0"/>
      <w:divBdr>
        <w:top w:val="none" w:sz="0" w:space="0" w:color="auto"/>
        <w:left w:val="none" w:sz="0" w:space="0" w:color="auto"/>
        <w:bottom w:val="none" w:sz="0" w:space="0" w:color="auto"/>
        <w:right w:val="none" w:sz="0" w:space="0" w:color="auto"/>
      </w:divBdr>
    </w:div>
    <w:div w:id="438531272">
      <w:bodyDiv w:val="1"/>
      <w:marLeft w:val="0"/>
      <w:marRight w:val="0"/>
      <w:marTop w:val="0"/>
      <w:marBottom w:val="0"/>
      <w:divBdr>
        <w:top w:val="none" w:sz="0" w:space="0" w:color="auto"/>
        <w:left w:val="none" w:sz="0" w:space="0" w:color="auto"/>
        <w:bottom w:val="none" w:sz="0" w:space="0" w:color="auto"/>
        <w:right w:val="none" w:sz="0" w:space="0" w:color="auto"/>
      </w:divBdr>
    </w:div>
    <w:div w:id="854073541">
      <w:bodyDiv w:val="1"/>
      <w:marLeft w:val="0"/>
      <w:marRight w:val="0"/>
      <w:marTop w:val="0"/>
      <w:marBottom w:val="0"/>
      <w:divBdr>
        <w:top w:val="none" w:sz="0" w:space="0" w:color="auto"/>
        <w:left w:val="none" w:sz="0" w:space="0" w:color="auto"/>
        <w:bottom w:val="none" w:sz="0" w:space="0" w:color="auto"/>
        <w:right w:val="none" w:sz="0" w:space="0" w:color="auto"/>
      </w:divBdr>
    </w:div>
    <w:div w:id="963464405">
      <w:bodyDiv w:val="1"/>
      <w:marLeft w:val="0"/>
      <w:marRight w:val="0"/>
      <w:marTop w:val="0"/>
      <w:marBottom w:val="0"/>
      <w:divBdr>
        <w:top w:val="none" w:sz="0" w:space="0" w:color="auto"/>
        <w:left w:val="none" w:sz="0" w:space="0" w:color="auto"/>
        <w:bottom w:val="none" w:sz="0" w:space="0" w:color="auto"/>
        <w:right w:val="none" w:sz="0" w:space="0" w:color="auto"/>
      </w:divBdr>
    </w:div>
    <w:div w:id="1095982617">
      <w:bodyDiv w:val="1"/>
      <w:marLeft w:val="0"/>
      <w:marRight w:val="0"/>
      <w:marTop w:val="0"/>
      <w:marBottom w:val="0"/>
      <w:divBdr>
        <w:top w:val="none" w:sz="0" w:space="0" w:color="auto"/>
        <w:left w:val="none" w:sz="0" w:space="0" w:color="auto"/>
        <w:bottom w:val="none" w:sz="0" w:space="0" w:color="auto"/>
        <w:right w:val="none" w:sz="0" w:space="0" w:color="auto"/>
      </w:divBdr>
    </w:div>
    <w:div w:id="1264537841">
      <w:bodyDiv w:val="1"/>
      <w:marLeft w:val="0"/>
      <w:marRight w:val="0"/>
      <w:marTop w:val="0"/>
      <w:marBottom w:val="0"/>
      <w:divBdr>
        <w:top w:val="none" w:sz="0" w:space="0" w:color="auto"/>
        <w:left w:val="none" w:sz="0" w:space="0" w:color="auto"/>
        <w:bottom w:val="none" w:sz="0" w:space="0" w:color="auto"/>
        <w:right w:val="none" w:sz="0" w:space="0" w:color="auto"/>
      </w:divBdr>
    </w:div>
    <w:div w:id="1271006992">
      <w:bodyDiv w:val="1"/>
      <w:marLeft w:val="0"/>
      <w:marRight w:val="0"/>
      <w:marTop w:val="0"/>
      <w:marBottom w:val="0"/>
      <w:divBdr>
        <w:top w:val="none" w:sz="0" w:space="0" w:color="auto"/>
        <w:left w:val="none" w:sz="0" w:space="0" w:color="auto"/>
        <w:bottom w:val="none" w:sz="0" w:space="0" w:color="auto"/>
        <w:right w:val="none" w:sz="0" w:space="0" w:color="auto"/>
      </w:divBdr>
      <w:divsChild>
        <w:div w:id="1871382328">
          <w:marLeft w:val="547"/>
          <w:marRight w:val="0"/>
          <w:marTop w:val="200"/>
          <w:marBottom w:val="0"/>
          <w:divBdr>
            <w:top w:val="none" w:sz="0" w:space="0" w:color="auto"/>
            <w:left w:val="none" w:sz="0" w:space="0" w:color="auto"/>
            <w:bottom w:val="none" w:sz="0" w:space="0" w:color="auto"/>
            <w:right w:val="none" w:sz="0" w:space="0" w:color="auto"/>
          </w:divBdr>
        </w:div>
        <w:div w:id="1964269345">
          <w:marLeft w:val="547"/>
          <w:marRight w:val="0"/>
          <w:marTop w:val="200"/>
          <w:marBottom w:val="0"/>
          <w:divBdr>
            <w:top w:val="none" w:sz="0" w:space="0" w:color="auto"/>
            <w:left w:val="none" w:sz="0" w:space="0" w:color="auto"/>
            <w:bottom w:val="none" w:sz="0" w:space="0" w:color="auto"/>
            <w:right w:val="none" w:sz="0" w:space="0" w:color="auto"/>
          </w:divBdr>
        </w:div>
        <w:div w:id="1658220587">
          <w:marLeft w:val="547"/>
          <w:marRight w:val="0"/>
          <w:marTop w:val="200"/>
          <w:marBottom w:val="0"/>
          <w:divBdr>
            <w:top w:val="none" w:sz="0" w:space="0" w:color="auto"/>
            <w:left w:val="none" w:sz="0" w:space="0" w:color="auto"/>
            <w:bottom w:val="none" w:sz="0" w:space="0" w:color="auto"/>
            <w:right w:val="none" w:sz="0" w:space="0" w:color="auto"/>
          </w:divBdr>
        </w:div>
      </w:divsChild>
    </w:div>
    <w:div w:id="1456607531">
      <w:bodyDiv w:val="1"/>
      <w:marLeft w:val="0"/>
      <w:marRight w:val="0"/>
      <w:marTop w:val="0"/>
      <w:marBottom w:val="0"/>
      <w:divBdr>
        <w:top w:val="none" w:sz="0" w:space="0" w:color="auto"/>
        <w:left w:val="none" w:sz="0" w:space="0" w:color="auto"/>
        <w:bottom w:val="none" w:sz="0" w:space="0" w:color="auto"/>
        <w:right w:val="none" w:sz="0" w:space="0" w:color="auto"/>
      </w:divBdr>
    </w:div>
    <w:div w:id="1611206042">
      <w:bodyDiv w:val="1"/>
      <w:marLeft w:val="0"/>
      <w:marRight w:val="0"/>
      <w:marTop w:val="0"/>
      <w:marBottom w:val="0"/>
      <w:divBdr>
        <w:top w:val="none" w:sz="0" w:space="0" w:color="auto"/>
        <w:left w:val="none" w:sz="0" w:space="0" w:color="auto"/>
        <w:bottom w:val="none" w:sz="0" w:space="0" w:color="auto"/>
        <w:right w:val="none" w:sz="0" w:space="0" w:color="auto"/>
      </w:divBdr>
      <w:divsChild>
        <w:div w:id="1399867536">
          <w:marLeft w:val="547"/>
          <w:marRight w:val="0"/>
          <w:marTop w:val="200"/>
          <w:marBottom w:val="0"/>
          <w:divBdr>
            <w:top w:val="none" w:sz="0" w:space="0" w:color="auto"/>
            <w:left w:val="none" w:sz="0" w:space="0" w:color="auto"/>
            <w:bottom w:val="none" w:sz="0" w:space="0" w:color="auto"/>
            <w:right w:val="none" w:sz="0" w:space="0" w:color="auto"/>
          </w:divBdr>
        </w:div>
        <w:div w:id="1028406879">
          <w:marLeft w:val="547"/>
          <w:marRight w:val="0"/>
          <w:marTop w:val="200"/>
          <w:marBottom w:val="0"/>
          <w:divBdr>
            <w:top w:val="none" w:sz="0" w:space="0" w:color="auto"/>
            <w:left w:val="none" w:sz="0" w:space="0" w:color="auto"/>
            <w:bottom w:val="none" w:sz="0" w:space="0" w:color="auto"/>
            <w:right w:val="none" w:sz="0" w:space="0" w:color="auto"/>
          </w:divBdr>
        </w:div>
        <w:div w:id="1926382151">
          <w:marLeft w:val="446"/>
          <w:marRight w:val="0"/>
          <w:marTop w:val="200"/>
          <w:marBottom w:val="0"/>
          <w:divBdr>
            <w:top w:val="none" w:sz="0" w:space="0" w:color="auto"/>
            <w:left w:val="none" w:sz="0" w:space="0" w:color="auto"/>
            <w:bottom w:val="none" w:sz="0" w:space="0" w:color="auto"/>
            <w:right w:val="none" w:sz="0" w:space="0" w:color="auto"/>
          </w:divBdr>
        </w:div>
        <w:div w:id="504637248">
          <w:marLeft w:val="446"/>
          <w:marRight w:val="0"/>
          <w:marTop w:val="200"/>
          <w:marBottom w:val="0"/>
          <w:divBdr>
            <w:top w:val="none" w:sz="0" w:space="0" w:color="auto"/>
            <w:left w:val="none" w:sz="0" w:space="0" w:color="auto"/>
            <w:bottom w:val="none" w:sz="0" w:space="0" w:color="auto"/>
            <w:right w:val="none" w:sz="0" w:space="0" w:color="auto"/>
          </w:divBdr>
        </w:div>
        <w:div w:id="1371882908">
          <w:marLeft w:val="446"/>
          <w:marRight w:val="0"/>
          <w:marTop w:val="200"/>
          <w:marBottom w:val="0"/>
          <w:divBdr>
            <w:top w:val="none" w:sz="0" w:space="0" w:color="auto"/>
            <w:left w:val="none" w:sz="0" w:space="0" w:color="auto"/>
            <w:bottom w:val="none" w:sz="0" w:space="0" w:color="auto"/>
            <w:right w:val="none" w:sz="0" w:space="0" w:color="auto"/>
          </w:divBdr>
        </w:div>
        <w:div w:id="1987124999">
          <w:marLeft w:val="446"/>
          <w:marRight w:val="0"/>
          <w:marTop w:val="200"/>
          <w:marBottom w:val="0"/>
          <w:divBdr>
            <w:top w:val="none" w:sz="0" w:space="0" w:color="auto"/>
            <w:left w:val="none" w:sz="0" w:space="0" w:color="auto"/>
            <w:bottom w:val="none" w:sz="0" w:space="0" w:color="auto"/>
            <w:right w:val="none" w:sz="0" w:space="0" w:color="auto"/>
          </w:divBdr>
        </w:div>
      </w:divsChild>
    </w:div>
    <w:div w:id="1671524625">
      <w:bodyDiv w:val="1"/>
      <w:marLeft w:val="0"/>
      <w:marRight w:val="0"/>
      <w:marTop w:val="0"/>
      <w:marBottom w:val="0"/>
      <w:divBdr>
        <w:top w:val="none" w:sz="0" w:space="0" w:color="auto"/>
        <w:left w:val="none" w:sz="0" w:space="0" w:color="auto"/>
        <w:bottom w:val="none" w:sz="0" w:space="0" w:color="auto"/>
        <w:right w:val="none" w:sz="0" w:space="0" w:color="auto"/>
      </w:divBdr>
      <w:divsChild>
        <w:div w:id="620304368">
          <w:marLeft w:val="720"/>
          <w:marRight w:val="0"/>
          <w:marTop w:val="100"/>
          <w:marBottom w:val="0"/>
          <w:divBdr>
            <w:top w:val="none" w:sz="0" w:space="0" w:color="auto"/>
            <w:left w:val="none" w:sz="0" w:space="0" w:color="auto"/>
            <w:bottom w:val="none" w:sz="0" w:space="0" w:color="auto"/>
            <w:right w:val="none" w:sz="0" w:space="0" w:color="auto"/>
          </w:divBdr>
        </w:div>
        <w:div w:id="243613646">
          <w:marLeft w:val="720"/>
          <w:marRight w:val="0"/>
          <w:marTop w:val="100"/>
          <w:marBottom w:val="0"/>
          <w:divBdr>
            <w:top w:val="none" w:sz="0" w:space="0" w:color="auto"/>
            <w:left w:val="none" w:sz="0" w:space="0" w:color="auto"/>
            <w:bottom w:val="none" w:sz="0" w:space="0" w:color="auto"/>
            <w:right w:val="none" w:sz="0" w:space="0" w:color="auto"/>
          </w:divBdr>
        </w:div>
        <w:div w:id="1862472076">
          <w:marLeft w:val="720"/>
          <w:marRight w:val="0"/>
          <w:marTop w:val="100"/>
          <w:marBottom w:val="0"/>
          <w:divBdr>
            <w:top w:val="none" w:sz="0" w:space="0" w:color="auto"/>
            <w:left w:val="none" w:sz="0" w:space="0" w:color="auto"/>
            <w:bottom w:val="none" w:sz="0" w:space="0" w:color="auto"/>
            <w:right w:val="none" w:sz="0" w:space="0" w:color="auto"/>
          </w:divBdr>
        </w:div>
        <w:div w:id="1345355000">
          <w:marLeft w:val="720"/>
          <w:marRight w:val="0"/>
          <w:marTop w:val="100"/>
          <w:marBottom w:val="0"/>
          <w:divBdr>
            <w:top w:val="none" w:sz="0" w:space="0" w:color="auto"/>
            <w:left w:val="none" w:sz="0" w:space="0" w:color="auto"/>
            <w:bottom w:val="none" w:sz="0" w:space="0" w:color="auto"/>
            <w:right w:val="none" w:sz="0" w:space="0" w:color="auto"/>
          </w:divBdr>
        </w:div>
      </w:divsChild>
    </w:div>
    <w:div w:id="1870798416">
      <w:bodyDiv w:val="1"/>
      <w:marLeft w:val="0"/>
      <w:marRight w:val="0"/>
      <w:marTop w:val="0"/>
      <w:marBottom w:val="0"/>
      <w:divBdr>
        <w:top w:val="none" w:sz="0" w:space="0" w:color="auto"/>
        <w:left w:val="none" w:sz="0" w:space="0" w:color="auto"/>
        <w:bottom w:val="none" w:sz="0" w:space="0" w:color="auto"/>
        <w:right w:val="none" w:sz="0" w:space="0" w:color="auto"/>
      </w:divBdr>
      <w:divsChild>
        <w:div w:id="1775830161">
          <w:marLeft w:val="547"/>
          <w:marRight w:val="0"/>
          <w:marTop w:val="200"/>
          <w:marBottom w:val="0"/>
          <w:divBdr>
            <w:top w:val="none" w:sz="0" w:space="0" w:color="auto"/>
            <w:left w:val="none" w:sz="0" w:space="0" w:color="auto"/>
            <w:bottom w:val="none" w:sz="0" w:space="0" w:color="auto"/>
            <w:right w:val="none" w:sz="0" w:space="0" w:color="auto"/>
          </w:divBdr>
        </w:div>
        <w:div w:id="840852249">
          <w:marLeft w:val="547"/>
          <w:marRight w:val="0"/>
          <w:marTop w:val="200"/>
          <w:marBottom w:val="0"/>
          <w:divBdr>
            <w:top w:val="none" w:sz="0" w:space="0" w:color="auto"/>
            <w:left w:val="none" w:sz="0" w:space="0" w:color="auto"/>
            <w:bottom w:val="none" w:sz="0" w:space="0" w:color="auto"/>
            <w:right w:val="none" w:sz="0" w:space="0" w:color="auto"/>
          </w:divBdr>
        </w:div>
        <w:div w:id="1384989417">
          <w:marLeft w:val="547"/>
          <w:marRight w:val="0"/>
          <w:marTop w:val="200"/>
          <w:marBottom w:val="0"/>
          <w:divBdr>
            <w:top w:val="none" w:sz="0" w:space="0" w:color="auto"/>
            <w:left w:val="none" w:sz="0" w:space="0" w:color="auto"/>
            <w:bottom w:val="none" w:sz="0" w:space="0" w:color="auto"/>
            <w:right w:val="none" w:sz="0" w:space="0" w:color="auto"/>
          </w:divBdr>
        </w:div>
        <w:div w:id="214127654">
          <w:marLeft w:val="547"/>
          <w:marRight w:val="0"/>
          <w:marTop w:val="200"/>
          <w:marBottom w:val="0"/>
          <w:divBdr>
            <w:top w:val="none" w:sz="0" w:space="0" w:color="auto"/>
            <w:left w:val="none" w:sz="0" w:space="0" w:color="auto"/>
            <w:bottom w:val="none" w:sz="0" w:space="0" w:color="auto"/>
            <w:right w:val="none" w:sz="0" w:space="0" w:color="auto"/>
          </w:divBdr>
        </w:div>
        <w:div w:id="994994164">
          <w:marLeft w:val="547"/>
          <w:marRight w:val="0"/>
          <w:marTop w:val="200"/>
          <w:marBottom w:val="0"/>
          <w:divBdr>
            <w:top w:val="none" w:sz="0" w:space="0" w:color="auto"/>
            <w:left w:val="none" w:sz="0" w:space="0" w:color="auto"/>
            <w:bottom w:val="none" w:sz="0" w:space="0" w:color="auto"/>
            <w:right w:val="none" w:sz="0" w:space="0" w:color="auto"/>
          </w:divBdr>
        </w:div>
        <w:div w:id="1419250331">
          <w:marLeft w:val="346"/>
          <w:marRight w:val="0"/>
          <w:marTop w:val="100"/>
          <w:marBottom w:val="0"/>
          <w:divBdr>
            <w:top w:val="none" w:sz="0" w:space="0" w:color="auto"/>
            <w:left w:val="none" w:sz="0" w:space="0" w:color="auto"/>
            <w:bottom w:val="none" w:sz="0" w:space="0" w:color="auto"/>
            <w:right w:val="none" w:sz="0" w:space="0" w:color="auto"/>
          </w:divBdr>
        </w:div>
      </w:divsChild>
    </w:div>
    <w:div w:id="1938556070">
      <w:bodyDiv w:val="1"/>
      <w:marLeft w:val="0"/>
      <w:marRight w:val="0"/>
      <w:marTop w:val="0"/>
      <w:marBottom w:val="0"/>
      <w:divBdr>
        <w:top w:val="none" w:sz="0" w:space="0" w:color="auto"/>
        <w:left w:val="none" w:sz="0" w:space="0" w:color="auto"/>
        <w:bottom w:val="none" w:sz="0" w:space="0" w:color="auto"/>
        <w:right w:val="none" w:sz="0" w:space="0" w:color="auto"/>
      </w:divBdr>
      <w:divsChild>
        <w:div w:id="197935275">
          <w:marLeft w:val="547"/>
          <w:marRight w:val="0"/>
          <w:marTop w:val="200"/>
          <w:marBottom w:val="160"/>
          <w:divBdr>
            <w:top w:val="none" w:sz="0" w:space="0" w:color="auto"/>
            <w:left w:val="none" w:sz="0" w:space="0" w:color="auto"/>
            <w:bottom w:val="none" w:sz="0" w:space="0" w:color="auto"/>
            <w:right w:val="none" w:sz="0" w:space="0" w:color="auto"/>
          </w:divBdr>
        </w:div>
        <w:div w:id="652291877">
          <w:marLeft w:val="547"/>
          <w:marRight w:val="0"/>
          <w:marTop w:val="200"/>
          <w:marBottom w:val="160"/>
          <w:divBdr>
            <w:top w:val="none" w:sz="0" w:space="0" w:color="auto"/>
            <w:left w:val="none" w:sz="0" w:space="0" w:color="auto"/>
            <w:bottom w:val="none" w:sz="0" w:space="0" w:color="auto"/>
            <w:right w:val="none" w:sz="0" w:space="0" w:color="auto"/>
          </w:divBdr>
        </w:div>
        <w:div w:id="611132567">
          <w:marLeft w:val="547"/>
          <w:marRight w:val="0"/>
          <w:marTop w:val="200"/>
          <w:marBottom w:val="160"/>
          <w:divBdr>
            <w:top w:val="none" w:sz="0" w:space="0" w:color="auto"/>
            <w:left w:val="none" w:sz="0" w:space="0" w:color="auto"/>
            <w:bottom w:val="none" w:sz="0" w:space="0" w:color="auto"/>
            <w:right w:val="none" w:sz="0" w:space="0" w:color="auto"/>
          </w:divBdr>
        </w:div>
        <w:div w:id="1577474774">
          <w:marLeft w:val="547"/>
          <w:marRight w:val="0"/>
          <w:marTop w:val="200"/>
          <w:marBottom w:val="160"/>
          <w:divBdr>
            <w:top w:val="none" w:sz="0" w:space="0" w:color="auto"/>
            <w:left w:val="none" w:sz="0" w:space="0" w:color="auto"/>
            <w:bottom w:val="none" w:sz="0" w:space="0" w:color="auto"/>
            <w:right w:val="none" w:sz="0" w:space="0" w:color="auto"/>
          </w:divBdr>
        </w:div>
        <w:div w:id="1449466180">
          <w:marLeft w:val="547"/>
          <w:marRight w:val="0"/>
          <w:marTop w:val="200"/>
          <w:marBottom w:val="160"/>
          <w:divBdr>
            <w:top w:val="none" w:sz="0" w:space="0" w:color="auto"/>
            <w:left w:val="none" w:sz="0" w:space="0" w:color="auto"/>
            <w:bottom w:val="none" w:sz="0" w:space="0" w:color="auto"/>
            <w:right w:val="none" w:sz="0" w:space="0" w:color="auto"/>
          </w:divBdr>
        </w:div>
        <w:div w:id="169491737">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nimelb.edu.au/news-and-events/community-based-research-scheme-now-open" TargetMode="External"/><Relationship Id="rId3" Type="http://schemas.openxmlformats.org/officeDocument/2006/relationships/settings" Target="settings.xml"/><Relationship Id="rId7" Type="http://schemas.openxmlformats.org/officeDocument/2006/relationships/hyperlink" Target="https://disability.unimelb.edu.au/home/current/community-based-research-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1</cp:revision>
  <dcterms:created xsi:type="dcterms:W3CDTF">2020-11-10T17:05:00Z</dcterms:created>
  <dcterms:modified xsi:type="dcterms:W3CDTF">2020-11-10T17:25:00Z</dcterms:modified>
</cp:coreProperties>
</file>