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DF3E" w14:textId="739CAA93" w:rsidR="00567EAD" w:rsidRPr="0083758E" w:rsidRDefault="00567EAD" w:rsidP="00567EAD">
      <w:pPr>
        <w:spacing w:after="0"/>
        <w:jc w:val="center"/>
        <w:rPr>
          <w:rFonts w:cs="Arial"/>
        </w:rPr>
      </w:pPr>
      <w:r>
        <w:rPr>
          <w:rFonts w:cs="Arial"/>
          <w:noProof/>
          <w:lang w:val="en-AU" w:eastAsia="en-AU"/>
        </w:rPr>
        <w:drawing>
          <wp:inline distT="0" distB="0" distL="0" distR="0" wp14:anchorId="383152B6" wp14:editId="34587E79">
            <wp:extent cx="2864485" cy="942086"/>
            <wp:effectExtent l="0" t="0" r="0" b="0"/>
            <wp:docPr id="1" name="Picture 1"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FDO\Logo\AFDO Logo Horizontal -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296" cy="943010"/>
                    </a:xfrm>
                    <a:prstGeom prst="rect">
                      <a:avLst/>
                    </a:prstGeom>
                    <a:noFill/>
                    <a:ln>
                      <a:noFill/>
                    </a:ln>
                  </pic:spPr>
                </pic:pic>
              </a:graphicData>
            </a:graphic>
          </wp:inline>
        </w:drawing>
      </w:r>
    </w:p>
    <w:p w14:paraId="0669F8E0" w14:textId="77777777" w:rsidR="00567EAD" w:rsidRPr="002C0C8D" w:rsidRDefault="00567EAD" w:rsidP="00567EAD">
      <w:pPr>
        <w:spacing w:after="0"/>
        <w:rPr>
          <w:rFonts w:cs="Arial"/>
          <w:sz w:val="8"/>
          <w:szCs w:val="8"/>
        </w:rPr>
      </w:pPr>
    </w:p>
    <w:p w14:paraId="6F97C899" w14:textId="77777777" w:rsidR="002C0C8D" w:rsidRDefault="002C0C8D" w:rsidP="00567EAD">
      <w:pPr>
        <w:jc w:val="center"/>
        <w:rPr>
          <w:rFonts w:cs="Arial"/>
          <w:b/>
          <w:bCs/>
          <w:color w:val="000000"/>
          <w:sz w:val="30"/>
          <w:szCs w:val="30"/>
        </w:rPr>
      </w:pPr>
    </w:p>
    <w:p w14:paraId="2FF6ABD2" w14:textId="77777777" w:rsidR="002C0C8D" w:rsidRDefault="002C0C8D" w:rsidP="00567EAD">
      <w:pPr>
        <w:spacing w:after="0"/>
        <w:rPr>
          <w:rFonts w:cs="Arial"/>
          <w:bCs/>
          <w:color w:val="000000"/>
        </w:rPr>
        <w:sectPr w:rsidR="002C0C8D" w:rsidSect="002C0C8D">
          <w:headerReference w:type="default" r:id="rId9"/>
          <w:footerReference w:type="default" r:id="rId10"/>
          <w:footerReference w:type="first" r:id="rId11"/>
          <w:type w:val="continuous"/>
          <w:pgSz w:w="11901" w:h="16817"/>
          <w:pgMar w:top="851" w:right="1080" w:bottom="1440" w:left="1080" w:header="426" w:footer="963" w:gutter="0"/>
          <w:cols w:num="2" w:space="708"/>
          <w:titlePg/>
          <w:docGrid w:linePitch="326"/>
        </w:sectPr>
      </w:pPr>
    </w:p>
    <w:p w14:paraId="1C098ACD" w14:textId="77777777" w:rsidR="00F728DA" w:rsidRDefault="00F728DA" w:rsidP="00F728DA">
      <w:pPr>
        <w:rPr>
          <w:b/>
          <w:bCs/>
          <w:color w:val="00767F"/>
          <w:kern w:val="28"/>
          <w:sz w:val="28"/>
        </w:rPr>
      </w:pPr>
      <w:bookmarkStart w:id="0" w:name="_Toc515282674"/>
    </w:p>
    <w:p w14:paraId="0460F0B0" w14:textId="07D1C01C" w:rsidR="00F728DA" w:rsidRPr="00F728DA" w:rsidRDefault="00F728DA" w:rsidP="00F728DA">
      <w:pPr>
        <w:jc w:val="center"/>
        <w:rPr>
          <w:sz w:val="32"/>
        </w:rPr>
      </w:pPr>
      <w:r w:rsidRPr="00F728DA">
        <w:rPr>
          <w:b/>
          <w:bCs/>
          <w:color w:val="00767F"/>
          <w:kern w:val="28"/>
          <w:sz w:val="32"/>
        </w:rPr>
        <w:t>Key Principles for a Sustainable Disability Support Pension</w:t>
      </w:r>
    </w:p>
    <w:p w14:paraId="75BB313B" w14:textId="77777777" w:rsidR="00F728DA" w:rsidRPr="00F728DA" w:rsidRDefault="00F728DA" w:rsidP="00F728DA">
      <w:pPr>
        <w:rPr>
          <w:b/>
          <w:sz w:val="8"/>
        </w:rPr>
      </w:pPr>
    </w:p>
    <w:p w14:paraId="561C8ECD" w14:textId="2EC2797B" w:rsidR="00F728DA" w:rsidRPr="00F728DA" w:rsidRDefault="00F728DA" w:rsidP="00F728DA">
      <w:pPr>
        <w:rPr>
          <w:b/>
        </w:rPr>
      </w:pPr>
      <w:r>
        <w:rPr>
          <w:b/>
        </w:rPr>
        <w:t>I</w:t>
      </w:r>
      <w:r w:rsidRPr="00F728DA">
        <w:rPr>
          <w:b/>
        </w:rPr>
        <w:t xml:space="preserve">ntroduction </w:t>
      </w:r>
    </w:p>
    <w:p w14:paraId="209F282A" w14:textId="77777777" w:rsidR="00F728DA" w:rsidRPr="00F728DA" w:rsidRDefault="00F728DA" w:rsidP="00F728DA">
      <w:pPr>
        <w:jc w:val="both"/>
        <w:rPr>
          <w:rFonts w:cs="Arial"/>
        </w:rPr>
      </w:pPr>
      <w:r w:rsidRPr="00F728DA">
        <w:rPr>
          <w:rFonts w:cs="Arial"/>
        </w:rPr>
        <w:t xml:space="preserve">Australia is a party to the </w:t>
      </w:r>
      <w:r w:rsidRPr="00F728DA">
        <w:rPr>
          <w:rFonts w:cs="Arial"/>
          <w:i/>
        </w:rPr>
        <w:t xml:space="preserve">International Covenant on Economic, Social and Cultural Rights </w:t>
      </w:r>
      <w:r w:rsidRPr="00F728DA">
        <w:rPr>
          <w:rFonts w:cs="Arial"/>
        </w:rPr>
        <w:t xml:space="preserve">(ICESCR) and the </w:t>
      </w:r>
      <w:r w:rsidRPr="00F728DA">
        <w:rPr>
          <w:rFonts w:cs="Arial"/>
          <w:i/>
          <w:iCs/>
        </w:rPr>
        <w:t xml:space="preserve">Convention on the Rights of Persons with Disabilities </w:t>
      </w:r>
      <w:r w:rsidRPr="00F728DA">
        <w:rPr>
          <w:rFonts w:cs="Arial"/>
          <w:iCs/>
        </w:rPr>
        <w:t>(CRPD)</w:t>
      </w:r>
      <w:r w:rsidRPr="00F728DA">
        <w:rPr>
          <w:rFonts w:cs="Arial"/>
        </w:rPr>
        <w:t xml:space="preserve">. Under articles 9 and 28 of these instruments respectively, the Australian Government is obliged to ensure that all persons with disabilities have access to social security, social protection and an adequate standard of living. </w:t>
      </w:r>
    </w:p>
    <w:p w14:paraId="14D496FF" w14:textId="77777777" w:rsidR="00F728DA" w:rsidRPr="00F728DA" w:rsidRDefault="00F728DA" w:rsidP="00F728DA">
      <w:pPr>
        <w:jc w:val="both"/>
        <w:rPr>
          <w:rFonts w:cs="Arial"/>
        </w:rPr>
      </w:pPr>
      <w:r w:rsidRPr="00F728DA">
        <w:rPr>
          <w:rFonts w:cs="Arial"/>
        </w:rPr>
        <w:t xml:space="preserve">Australia’s social security system is crucial to the realisation of this right, particularly through the payment of Disability Support Pension to people who cannot realize economic security through paid work participation. </w:t>
      </w:r>
    </w:p>
    <w:p w14:paraId="3AB16FE8" w14:textId="77777777" w:rsidR="00F728DA" w:rsidRPr="00F728DA" w:rsidRDefault="00F728DA" w:rsidP="00F728DA">
      <w:pPr>
        <w:jc w:val="both"/>
        <w:rPr>
          <w:rFonts w:cs="Arial"/>
        </w:rPr>
      </w:pPr>
      <w:r w:rsidRPr="00F728DA">
        <w:rPr>
          <w:rFonts w:cs="Arial"/>
        </w:rPr>
        <w:t>Access to this form of income support is especially crucial due to the inaccessibility of meaningful, secure and appropriately remunerated employment for many persons with disabilities in Australia</w:t>
      </w:r>
    </w:p>
    <w:p w14:paraId="441EE4C2" w14:textId="77777777" w:rsidR="00F728DA" w:rsidRPr="00F728DA" w:rsidRDefault="00F728DA" w:rsidP="00F728DA">
      <w:pPr>
        <w:jc w:val="both"/>
        <w:rPr>
          <w:rFonts w:cs="Arial"/>
        </w:rPr>
      </w:pPr>
      <w:r w:rsidRPr="00F728DA">
        <w:rPr>
          <w:rFonts w:cs="Arial"/>
        </w:rPr>
        <w:t>Even more fundamentally, the provision of adequate, accessible and disability-specific social security is necessary for the reduction and alleviation of poverty and promotion of the social inclusion and participation of persons with disabilities in Australia.</w:t>
      </w:r>
      <w:r w:rsidRPr="00F728DA">
        <w:rPr>
          <w:rFonts w:cs="Arial"/>
          <w:vertAlign w:val="superscript"/>
        </w:rPr>
        <w:footnoteReference w:id="1"/>
      </w:r>
    </w:p>
    <w:p w14:paraId="703AB945" w14:textId="77777777" w:rsidR="00F728DA" w:rsidRPr="00F728DA" w:rsidRDefault="00F728DA" w:rsidP="00F728DA">
      <w:pPr>
        <w:jc w:val="both"/>
        <w:rPr>
          <w:rFonts w:cs="Arial"/>
        </w:rPr>
      </w:pPr>
      <w:r w:rsidRPr="00F728DA">
        <w:rPr>
          <w:rFonts w:cs="Arial"/>
        </w:rPr>
        <w:t>The Australian Federation of Disability Organisations (AFDO) is concerned that changes to the Disability Support Pension and wider social security system in recent decades have led to the exclusion of many persons with disabilities from access to essential social security.</w:t>
      </w:r>
    </w:p>
    <w:p w14:paraId="17E28142" w14:textId="6221F32A" w:rsidR="00F728DA" w:rsidRPr="00F728DA" w:rsidRDefault="00F728DA" w:rsidP="00F728DA">
      <w:pPr>
        <w:jc w:val="both"/>
        <w:rPr>
          <w:rFonts w:cs="Arial"/>
        </w:rPr>
      </w:pPr>
      <w:r w:rsidRPr="00F728DA">
        <w:rPr>
          <w:rFonts w:cs="Arial"/>
        </w:rPr>
        <w:t>AFDO proposes the following eight principles for ensuring that Disability Support Pension is sustainable and advances the fundamental rights of persons with disabilities</w:t>
      </w:r>
      <w:r>
        <w:rPr>
          <w:rFonts w:cs="Arial"/>
        </w:rPr>
        <w:t>;</w:t>
      </w:r>
    </w:p>
    <w:bookmarkEnd w:id="0"/>
    <w:p w14:paraId="678577BF" w14:textId="77777777" w:rsidR="00F728DA" w:rsidRPr="00F728DA" w:rsidRDefault="00F728DA" w:rsidP="00F728DA">
      <w:pPr>
        <w:spacing w:after="160" w:line="259" w:lineRule="auto"/>
        <w:rPr>
          <w:rFonts w:cs="Arial"/>
          <w:b/>
        </w:rPr>
      </w:pPr>
      <w:r w:rsidRPr="00F728DA">
        <w:rPr>
          <w:rFonts w:cs="Arial"/>
          <w:b/>
        </w:rPr>
        <w:br w:type="page"/>
      </w:r>
    </w:p>
    <w:p w14:paraId="064FD220" w14:textId="77777777" w:rsidR="00F728DA" w:rsidRDefault="00F728DA" w:rsidP="00F728DA">
      <w:pPr>
        <w:spacing w:after="120"/>
        <w:jc w:val="center"/>
        <w:rPr>
          <w:b/>
          <w:bCs/>
          <w:color w:val="00767F"/>
          <w:kern w:val="28"/>
          <w:sz w:val="28"/>
        </w:rPr>
      </w:pPr>
      <w:r w:rsidRPr="00F728DA">
        <w:rPr>
          <w:b/>
          <w:bCs/>
          <w:color w:val="00767F"/>
          <w:kern w:val="28"/>
          <w:sz w:val="28"/>
        </w:rPr>
        <w:lastRenderedPageBreak/>
        <w:t>Key Principles for a Sustainable Disability Support Pension</w:t>
      </w:r>
    </w:p>
    <w:p w14:paraId="40F44169" w14:textId="77777777" w:rsidR="00F728DA" w:rsidRPr="00F728DA" w:rsidRDefault="00F728DA" w:rsidP="00F728DA">
      <w:pPr>
        <w:spacing w:after="120"/>
        <w:jc w:val="center"/>
        <w:rPr>
          <w:rFonts w:cs="Arial"/>
          <w:b/>
        </w:rPr>
      </w:pPr>
    </w:p>
    <w:p w14:paraId="3F3CD324" w14:textId="77777777" w:rsidR="00F728DA" w:rsidRPr="00F728DA" w:rsidRDefault="00F728DA" w:rsidP="00F728DA">
      <w:pPr>
        <w:numPr>
          <w:ilvl w:val="0"/>
          <w:numId w:val="22"/>
        </w:numPr>
        <w:spacing w:after="0"/>
        <w:contextualSpacing/>
      </w:pPr>
      <w:r w:rsidRPr="00F728DA">
        <w:rPr>
          <w:lang w:val="en-AU"/>
        </w:rPr>
        <w:t xml:space="preserve">All persons have a human right to social security and social protection. The right to social security is also a core right of national citizenship in Australia that has long been embedded in legislation and government policy (e.g., Invalid and Old-aged Pension Act, 1908).  </w:t>
      </w:r>
    </w:p>
    <w:p w14:paraId="1B7CEACA" w14:textId="77777777" w:rsidR="00F728DA" w:rsidRPr="00F728DA" w:rsidRDefault="00F728DA" w:rsidP="00F728DA">
      <w:pPr>
        <w:spacing w:after="0"/>
        <w:ind w:left="720"/>
        <w:contextualSpacing/>
        <w:rPr>
          <w:sz w:val="14"/>
        </w:rPr>
      </w:pPr>
    </w:p>
    <w:p w14:paraId="224811A4" w14:textId="77777777" w:rsidR="00F728DA" w:rsidRPr="00F728DA" w:rsidRDefault="00F728DA" w:rsidP="00F728DA">
      <w:pPr>
        <w:numPr>
          <w:ilvl w:val="0"/>
          <w:numId w:val="22"/>
        </w:numPr>
        <w:spacing w:after="0"/>
        <w:contextualSpacing/>
      </w:pPr>
      <w:r w:rsidRPr="00F728DA">
        <w:rPr>
          <w:lang w:val="en-AU"/>
        </w:rPr>
        <w:t>The right to social security and social protection does not deny the right to work for persons with impairment/s and/or chronic condition/s but recognises that across the life course, persons with disability will require differing levels of socio-economic support to account for changes in personal circumstances and in the labour market.</w:t>
      </w:r>
    </w:p>
    <w:p w14:paraId="41D97447" w14:textId="77777777" w:rsidR="00F728DA" w:rsidRPr="00F728DA" w:rsidRDefault="00F728DA" w:rsidP="00F728DA">
      <w:pPr>
        <w:spacing w:after="0"/>
        <w:ind w:left="720"/>
        <w:contextualSpacing/>
        <w:rPr>
          <w:sz w:val="14"/>
        </w:rPr>
      </w:pPr>
    </w:p>
    <w:p w14:paraId="4E4EAE5F" w14:textId="77777777" w:rsidR="00F728DA" w:rsidRPr="00F728DA" w:rsidRDefault="00F728DA" w:rsidP="00F728DA">
      <w:pPr>
        <w:numPr>
          <w:ilvl w:val="0"/>
          <w:numId w:val="22"/>
        </w:numPr>
        <w:spacing w:after="0"/>
        <w:contextualSpacing/>
      </w:pPr>
      <w:r w:rsidRPr="00F728DA">
        <w:rPr>
          <w:lang w:val="en-AU"/>
        </w:rPr>
        <w:t>Persons with disability who are unable to work, or are limited in their capacity to work due to impairment, have a right to social protection and economic security (CRPD Art. 28). Mainstream unemployment benefits and income support payments are inappropriate and not fit for purpose as social security payments for persons with disability.</w:t>
      </w:r>
    </w:p>
    <w:p w14:paraId="3B843F8A" w14:textId="77777777" w:rsidR="00F728DA" w:rsidRPr="00F728DA" w:rsidRDefault="00F728DA" w:rsidP="00F728DA">
      <w:pPr>
        <w:spacing w:after="0"/>
        <w:rPr>
          <w:sz w:val="14"/>
        </w:rPr>
      </w:pPr>
    </w:p>
    <w:p w14:paraId="5B86607B" w14:textId="77777777" w:rsidR="00F728DA" w:rsidRPr="00F728DA" w:rsidRDefault="00F728DA" w:rsidP="00F728DA">
      <w:pPr>
        <w:numPr>
          <w:ilvl w:val="0"/>
          <w:numId w:val="22"/>
        </w:numPr>
        <w:spacing w:after="0"/>
        <w:contextualSpacing/>
        <w:rPr>
          <w:rFonts w:ascii="Calibri" w:eastAsiaTheme="minorHAnsi" w:hAnsi="Calibri"/>
          <w:bCs/>
          <w:kern w:val="0"/>
          <w:sz w:val="22"/>
          <w:szCs w:val="22"/>
          <w:lang w:val="en-AU"/>
        </w:rPr>
      </w:pPr>
      <w:r w:rsidRPr="00F728DA">
        <w:rPr>
          <w:lang w:val="en-AU"/>
        </w:rPr>
        <w:t xml:space="preserve">The assessment of disability social security eligibility needs to be fair, reasonable, and based upon an objective measure of need to ensure it is first, responsive to the individual and their circumstances, and second, does not generate hardship or greater economic insecurity. </w:t>
      </w:r>
    </w:p>
    <w:p w14:paraId="4D30363C" w14:textId="77777777" w:rsidR="00F728DA" w:rsidRPr="00F728DA" w:rsidRDefault="00F728DA" w:rsidP="00F728DA">
      <w:pPr>
        <w:spacing w:after="0"/>
        <w:ind w:left="720"/>
        <w:contextualSpacing/>
        <w:rPr>
          <w:rFonts w:ascii="Calibri" w:eastAsiaTheme="minorHAnsi" w:hAnsi="Calibri"/>
          <w:bCs/>
          <w:kern w:val="0"/>
          <w:sz w:val="14"/>
          <w:szCs w:val="22"/>
          <w:lang w:val="en-AU"/>
        </w:rPr>
      </w:pPr>
    </w:p>
    <w:p w14:paraId="4D9D76AF" w14:textId="77777777" w:rsidR="00F728DA" w:rsidRPr="00F728DA" w:rsidRDefault="00F728DA" w:rsidP="00F728DA">
      <w:pPr>
        <w:numPr>
          <w:ilvl w:val="0"/>
          <w:numId w:val="22"/>
        </w:numPr>
        <w:spacing w:after="0"/>
        <w:contextualSpacing/>
      </w:pPr>
      <w:r w:rsidRPr="00F728DA">
        <w:rPr>
          <w:lang w:val="en-AU"/>
        </w:rPr>
        <w:t xml:space="preserve">Disability social security assessment processes should be undertaken by relevant medical and allied health professionals who have the required expertise in relation to the individual’s impairment/s and chronic condition/s </w:t>
      </w:r>
      <w:r w:rsidRPr="00F728DA">
        <w:rPr>
          <w:i/>
          <w:lang w:val="en-AU"/>
        </w:rPr>
        <w:t xml:space="preserve">alongside </w:t>
      </w:r>
      <w:r w:rsidRPr="00F728DA">
        <w:rPr>
          <w:lang w:val="en-AU"/>
        </w:rPr>
        <w:t xml:space="preserve">the everyday impacts the impairment/s and/or chronic condition/s have over a period of time </w:t>
      </w:r>
      <w:r w:rsidRPr="00F728DA">
        <w:rPr>
          <w:bCs/>
        </w:rPr>
        <w:t>and the impacts of social barriers like stigma, discrimination and inaccessibility of the labor market.</w:t>
      </w:r>
    </w:p>
    <w:p w14:paraId="2CDEFE14" w14:textId="77777777" w:rsidR="00F728DA" w:rsidRPr="00F728DA" w:rsidRDefault="00F728DA" w:rsidP="00F728DA">
      <w:pPr>
        <w:spacing w:after="0"/>
        <w:rPr>
          <w:sz w:val="14"/>
        </w:rPr>
      </w:pPr>
    </w:p>
    <w:p w14:paraId="01C60B54" w14:textId="77777777" w:rsidR="00F728DA" w:rsidRPr="00F728DA" w:rsidRDefault="00F728DA" w:rsidP="00F728DA">
      <w:pPr>
        <w:numPr>
          <w:ilvl w:val="0"/>
          <w:numId w:val="22"/>
        </w:numPr>
        <w:spacing w:after="0"/>
        <w:contextualSpacing/>
      </w:pPr>
      <w:r w:rsidRPr="00F728DA">
        <w:rPr>
          <w:lang w:val="en-AU"/>
        </w:rPr>
        <w:t>Personal information and evidence provided by the assessing medical and allied health professionals, and the individual concerned, remains protected under national privacy legislation and cannot be shared nor drawn upon without the explicit permission of the individual concerned (CRPD Art. 22).</w:t>
      </w:r>
    </w:p>
    <w:p w14:paraId="25AD42A0" w14:textId="77777777" w:rsidR="00F728DA" w:rsidRPr="00F728DA" w:rsidRDefault="00F728DA" w:rsidP="00F728DA">
      <w:pPr>
        <w:spacing w:after="0"/>
        <w:ind w:left="720"/>
        <w:contextualSpacing/>
        <w:rPr>
          <w:sz w:val="14"/>
        </w:rPr>
      </w:pPr>
    </w:p>
    <w:p w14:paraId="02E1B4F2" w14:textId="77777777" w:rsidR="00F728DA" w:rsidRPr="00F728DA" w:rsidRDefault="00F728DA" w:rsidP="00F728DA">
      <w:pPr>
        <w:numPr>
          <w:ilvl w:val="0"/>
          <w:numId w:val="22"/>
        </w:numPr>
        <w:spacing w:after="0"/>
        <w:contextualSpacing/>
        <w:rPr>
          <w:lang w:val="en-AU"/>
        </w:rPr>
      </w:pPr>
      <w:r w:rsidRPr="00F728DA">
        <w:rPr>
          <w:lang w:val="en-AU"/>
        </w:rPr>
        <w:t xml:space="preserve">Disability social security assessment processes, procedures and outcomes must be freely and readily available and distributed widely in inclusive accessible formats and languages to ensure that all persons with disabilities, their support networks and medical and allied health professional support networks are fully informed </w:t>
      </w:r>
      <w:bookmarkStart w:id="1" w:name="_Hlk528747438"/>
      <w:r w:rsidRPr="00F728DA">
        <w:rPr>
          <w:lang w:val="en-AU"/>
        </w:rPr>
        <w:t>(CRPD Art 21)</w:t>
      </w:r>
      <w:bookmarkEnd w:id="1"/>
      <w:r w:rsidRPr="00F728DA">
        <w:rPr>
          <w:lang w:val="en-AU"/>
        </w:rPr>
        <w:t>.</w:t>
      </w:r>
    </w:p>
    <w:p w14:paraId="27E7509A" w14:textId="77777777" w:rsidR="00F728DA" w:rsidRPr="00F728DA" w:rsidRDefault="00F728DA" w:rsidP="00F728DA">
      <w:pPr>
        <w:spacing w:after="0"/>
        <w:ind w:left="720"/>
        <w:contextualSpacing/>
        <w:rPr>
          <w:sz w:val="14"/>
          <w:lang w:val="en-AU"/>
        </w:rPr>
      </w:pPr>
    </w:p>
    <w:p w14:paraId="700BEF9F" w14:textId="77777777" w:rsidR="00F728DA" w:rsidRPr="00F728DA" w:rsidRDefault="00F728DA" w:rsidP="00F728DA">
      <w:pPr>
        <w:numPr>
          <w:ilvl w:val="0"/>
          <w:numId w:val="22"/>
        </w:numPr>
        <w:spacing w:after="0" w:line="240" w:lineRule="auto"/>
        <w:contextualSpacing/>
        <w:rPr>
          <w:b/>
        </w:rPr>
      </w:pPr>
      <w:r w:rsidRPr="00F728DA">
        <w:rPr>
          <w:lang w:val="en"/>
        </w:rPr>
        <w:t xml:space="preserve">Responsible government department/s should publish regular and comprehensive de-identified data documenting the core demographic information of recipients alongside changes to regulations and guidelines to enable, first, the monitoring of impact of such changes, and second, to ensure that persons with disabilities and/or chronic conditions, medical and allied health professionals, and relevant organisations are fully informed at all times (CRPD Art 31).  These data should be in a form that allows for secondary analysis by independent parties.   </w:t>
      </w:r>
    </w:p>
    <w:p w14:paraId="1FB3A5D9" w14:textId="77777777" w:rsidR="0099526A" w:rsidRPr="002C0C8D" w:rsidRDefault="0099526A" w:rsidP="0099526A">
      <w:pPr>
        <w:spacing w:after="0" w:line="240" w:lineRule="auto"/>
        <w:jc w:val="center"/>
        <w:rPr>
          <w:rFonts w:eastAsia="Calibri" w:cs="Arial"/>
          <w:kern w:val="0"/>
        </w:rPr>
      </w:pPr>
    </w:p>
    <w:p w14:paraId="42FD64B9" w14:textId="4E548CDA" w:rsidR="00E35928" w:rsidRPr="00BC1009" w:rsidRDefault="00594266" w:rsidP="00BC1009">
      <w:pPr>
        <w:pStyle w:val="Heading2"/>
        <w:rPr>
          <w:rFonts w:eastAsia="Calibri"/>
          <w:sz w:val="28"/>
          <w:szCs w:val="28"/>
        </w:rPr>
      </w:pPr>
      <w:r w:rsidRPr="00E35928">
        <w:rPr>
          <w:rFonts w:eastAsia="Calibri"/>
          <w:sz w:val="28"/>
          <w:szCs w:val="28"/>
        </w:rPr>
        <w:lastRenderedPageBreak/>
        <w:t>Key Areas Where Change is Needed</w:t>
      </w:r>
    </w:p>
    <w:p w14:paraId="1CAC5E0A" w14:textId="6CD147B9" w:rsidR="00BC1009" w:rsidRPr="00BC1009" w:rsidRDefault="00BC1009" w:rsidP="00BC1009">
      <w:pPr>
        <w:pStyle w:val="ListParagraph"/>
        <w:numPr>
          <w:ilvl w:val="0"/>
          <w:numId w:val="23"/>
        </w:numPr>
        <w:rPr>
          <w:rFonts w:ascii="Calibri" w:hAnsi="Calibri"/>
          <w:kern w:val="0"/>
          <w:sz w:val="22"/>
          <w:szCs w:val="22"/>
        </w:rPr>
      </w:pPr>
      <w:r w:rsidRPr="00BC1009">
        <w:rPr>
          <w:iCs/>
        </w:rPr>
        <w:t>Reinstate the process where Treating Doctors were requested to respond to relevant questions, rather than a blanket request for medical files</w:t>
      </w:r>
      <w:r w:rsidRPr="00BC1009">
        <w:t xml:space="preserve"> </w:t>
      </w:r>
    </w:p>
    <w:p w14:paraId="3E74087A" w14:textId="61B6D05E" w:rsidR="00BC1009" w:rsidRPr="00BC1009" w:rsidRDefault="00BC1009" w:rsidP="00BC1009">
      <w:pPr>
        <w:pStyle w:val="ListParagraph"/>
        <w:numPr>
          <w:ilvl w:val="0"/>
          <w:numId w:val="23"/>
        </w:numPr>
        <w:rPr>
          <w:rFonts w:ascii="Calibri" w:hAnsi="Calibri"/>
          <w:iCs/>
          <w:kern w:val="0"/>
          <w:sz w:val="22"/>
          <w:szCs w:val="22"/>
        </w:rPr>
      </w:pPr>
      <w:r w:rsidRPr="00BC1009">
        <w:rPr>
          <w:iCs/>
        </w:rPr>
        <w:t xml:space="preserve">Ensure that the view </w:t>
      </w:r>
      <w:r w:rsidR="00BE5D0C">
        <w:rPr>
          <w:iCs/>
        </w:rPr>
        <w:t xml:space="preserve">of a Government Contracted </w:t>
      </w:r>
      <w:r w:rsidR="00C9286C">
        <w:rPr>
          <w:iCs/>
        </w:rPr>
        <w:t xml:space="preserve">Doctor </w:t>
      </w:r>
      <w:bookmarkStart w:id="2" w:name="_GoBack"/>
      <w:bookmarkEnd w:id="2"/>
      <w:r w:rsidRPr="00BC1009">
        <w:rPr>
          <w:iCs/>
        </w:rPr>
        <w:t>is not treated as determinative without the delegate looking at other material including giving real weight to treating doctor’s reports</w:t>
      </w:r>
    </w:p>
    <w:p w14:paraId="43E1A600" w14:textId="3DB63775" w:rsidR="00E35928" w:rsidRDefault="00E35928" w:rsidP="00E35928">
      <w:pPr>
        <w:pStyle w:val="ListParagraph"/>
        <w:numPr>
          <w:ilvl w:val="0"/>
          <w:numId w:val="23"/>
        </w:numPr>
        <w:spacing w:before="0" w:after="0" w:line="240" w:lineRule="auto"/>
        <w:contextualSpacing w:val="0"/>
      </w:pPr>
      <w:r>
        <w:t>Remove the wording</w:t>
      </w:r>
      <w:r w:rsidR="00C3648E">
        <w:t xml:space="preserve"> “Treated and Stabilised</w:t>
      </w:r>
      <w:r>
        <w:t xml:space="preserve">” from the Eligibility Requirements </w:t>
      </w:r>
    </w:p>
    <w:p w14:paraId="42AA29CA" w14:textId="77777777" w:rsidR="00E35928" w:rsidRDefault="00E35928" w:rsidP="00E35928">
      <w:pPr>
        <w:pStyle w:val="ListParagraph"/>
        <w:numPr>
          <w:ilvl w:val="0"/>
          <w:numId w:val="23"/>
        </w:numPr>
        <w:spacing w:before="0" w:after="0" w:line="240" w:lineRule="auto"/>
        <w:contextualSpacing w:val="0"/>
      </w:pPr>
      <w:r>
        <w:t xml:space="preserve">Remove the Program of Support for the DSP Eligibility Process </w:t>
      </w:r>
    </w:p>
    <w:p w14:paraId="1511F16B" w14:textId="77777777" w:rsidR="00E35928" w:rsidRDefault="00E35928" w:rsidP="00E35928">
      <w:pPr>
        <w:pStyle w:val="ListParagraph"/>
        <w:numPr>
          <w:ilvl w:val="0"/>
          <w:numId w:val="23"/>
        </w:numPr>
        <w:spacing w:before="0" w:after="0" w:line="240" w:lineRule="auto"/>
        <w:contextualSpacing w:val="0"/>
      </w:pPr>
      <w:r>
        <w:t xml:space="preserve">Implement a set of Publicly Available Standards regarding the time it takes to process a claim for the DSP and for the time it takes to complete a review </w:t>
      </w:r>
    </w:p>
    <w:p w14:paraId="6C6750D6" w14:textId="56C47597" w:rsidR="00E35928" w:rsidRDefault="00E35928" w:rsidP="00E35928">
      <w:pPr>
        <w:pStyle w:val="ListParagraph"/>
        <w:numPr>
          <w:ilvl w:val="0"/>
          <w:numId w:val="23"/>
        </w:numPr>
        <w:spacing w:before="0" w:after="0" w:line="240" w:lineRule="auto"/>
        <w:contextualSpacing w:val="0"/>
      </w:pPr>
      <w:r>
        <w:t>Review the Content of the Impairment Tables so that they become a tool to assist eligibility rather than acting as a barrier to eligibility</w:t>
      </w:r>
    </w:p>
    <w:p w14:paraId="52952012" w14:textId="77777777" w:rsidR="00E35928" w:rsidRDefault="00E35928" w:rsidP="00E35928">
      <w:pPr>
        <w:pStyle w:val="ListParagraph"/>
        <w:numPr>
          <w:ilvl w:val="0"/>
          <w:numId w:val="23"/>
        </w:numPr>
        <w:spacing w:before="0" w:after="0" w:line="240" w:lineRule="auto"/>
        <w:contextualSpacing w:val="0"/>
      </w:pPr>
      <w:r>
        <w:t>Reinstate regular publicly available reporting on all aspects of the DSP including claims and reviews</w:t>
      </w:r>
    </w:p>
    <w:p w14:paraId="2CCD29FF" w14:textId="77777777" w:rsidR="00E35928" w:rsidRPr="00E35928" w:rsidRDefault="00E35928" w:rsidP="00E35928">
      <w:pPr>
        <w:rPr>
          <w:lang w:val="en-AU"/>
        </w:rPr>
      </w:pPr>
    </w:p>
    <w:p w14:paraId="60CA015D" w14:textId="61CA5E06" w:rsidR="002C0C8D" w:rsidRDefault="002C0C8D" w:rsidP="002C0C8D">
      <w:pPr>
        <w:spacing w:after="0" w:line="240" w:lineRule="auto"/>
        <w:rPr>
          <w:rFonts w:eastAsia="Calibri" w:cs="Arial"/>
          <w:b/>
          <w:kern w:val="0"/>
        </w:rPr>
      </w:pPr>
      <w:r w:rsidRPr="002C0C8D">
        <w:rPr>
          <w:rFonts w:eastAsia="Calibri" w:cs="Arial"/>
          <w:b/>
          <w:kern w:val="0"/>
        </w:rPr>
        <w:t>Contact</w:t>
      </w:r>
      <w:r w:rsidR="00F728DA">
        <w:rPr>
          <w:rFonts w:eastAsia="Calibri" w:cs="Arial"/>
          <w:b/>
          <w:kern w:val="0"/>
        </w:rPr>
        <w:t>:</w:t>
      </w:r>
    </w:p>
    <w:p w14:paraId="47E2C5C8" w14:textId="77777777" w:rsidR="00F728DA" w:rsidRPr="002C0C8D" w:rsidRDefault="00F728DA" w:rsidP="002C0C8D">
      <w:pPr>
        <w:spacing w:after="0" w:line="240" w:lineRule="auto"/>
        <w:rPr>
          <w:rFonts w:eastAsia="Calibri" w:cs="Arial"/>
          <w:b/>
          <w:kern w:val="0"/>
        </w:rPr>
      </w:pPr>
    </w:p>
    <w:p w14:paraId="40A335AF" w14:textId="77777777" w:rsidR="002C0C8D" w:rsidRPr="002C0C8D" w:rsidRDefault="002C0C8D" w:rsidP="002C0C8D">
      <w:pPr>
        <w:spacing w:after="0" w:line="240" w:lineRule="auto"/>
        <w:rPr>
          <w:rFonts w:eastAsia="Calibri" w:cs="Arial"/>
          <w:kern w:val="0"/>
        </w:rPr>
      </w:pPr>
      <w:r w:rsidRPr="002C0C8D">
        <w:rPr>
          <w:rFonts w:eastAsia="Calibri" w:cs="Arial"/>
          <w:kern w:val="0"/>
        </w:rPr>
        <w:t>Patrick McGee, National Manager – Policy, Advocacy &amp; Research</w:t>
      </w:r>
    </w:p>
    <w:p w14:paraId="2B85FA40" w14:textId="77777777" w:rsidR="00F728DA" w:rsidRDefault="00F728DA" w:rsidP="002C0C8D">
      <w:pPr>
        <w:spacing w:after="0" w:line="240" w:lineRule="auto"/>
        <w:rPr>
          <w:rFonts w:eastAsia="Calibri" w:cs="Arial"/>
          <w:kern w:val="0"/>
        </w:rPr>
      </w:pPr>
    </w:p>
    <w:p w14:paraId="504F5FCD" w14:textId="77777777" w:rsidR="002C0C8D" w:rsidRPr="002C0C8D" w:rsidRDefault="002C0C8D" w:rsidP="002C0C8D">
      <w:pPr>
        <w:spacing w:after="0" w:line="240" w:lineRule="auto"/>
        <w:rPr>
          <w:rFonts w:eastAsia="Calibri" w:cs="Arial"/>
          <w:kern w:val="0"/>
        </w:rPr>
      </w:pPr>
      <w:r w:rsidRPr="002C0C8D">
        <w:rPr>
          <w:rFonts w:eastAsia="Calibri" w:cs="Arial"/>
          <w:kern w:val="0"/>
        </w:rPr>
        <w:t xml:space="preserve">Australian Federation of Disability Organisations </w:t>
      </w:r>
    </w:p>
    <w:p w14:paraId="181A3873" w14:textId="77777777" w:rsidR="00F728DA" w:rsidRDefault="00F728DA" w:rsidP="002C0C8D">
      <w:pPr>
        <w:spacing w:after="0" w:line="240" w:lineRule="auto"/>
        <w:rPr>
          <w:rFonts w:eastAsia="Calibri" w:cs="Arial"/>
          <w:color w:val="0563C1"/>
          <w:kern w:val="0"/>
          <w:u w:val="single"/>
        </w:rPr>
      </w:pPr>
    </w:p>
    <w:p w14:paraId="101B2486" w14:textId="77777777" w:rsidR="002C0C8D" w:rsidRPr="002C0C8D" w:rsidRDefault="00C9286C" w:rsidP="002C0C8D">
      <w:pPr>
        <w:spacing w:after="0" w:line="240" w:lineRule="auto"/>
        <w:rPr>
          <w:rFonts w:eastAsia="Calibri" w:cs="Arial"/>
          <w:kern w:val="0"/>
        </w:rPr>
      </w:pPr>
      <w:hyperlink r:id="rId12" w:history="1">
        <w:r w:rsidR="002C0C8D" w:rsidRPr="002C0C8D">
          <w:rPr>
            <w:rFonts w:eastAsia="Calibri" w:cs="Arial"/>
            <w:color w:val="0563C1"/>
            <w:kern w:val="0"/>
            <w:u w:val="single"/>
          </w:rPr>
          <w:t>Patrick.McGee@afdo.org.au</w:t>
        </w:r>
      </w:hyperlink>
    </w:p>
    <w:p w14:paraId="4CB13F77" w14:textId="7FBD34B1" w:rsidR="00234C33" w:rsidRPr="002C0C8D" w:rsidRDefault="00234C33" w:rsidP="002C0C8D">
      <w:pPr>
        <w:spacing w:after="0" w:line="240" w:lineRule="auto"/>
        <w:rPr>
          <w:rFonts w:cs="Arial"/>
        </w:rPr>
      </w:pPr>
    </w:p>
    <w:sectPr w:rsidR="00234C33" w:rsidRPr="002C0C8D" w:rsidSect="00F728DA">
      <w:type w:val="continuous"/>
      <w:pgSz w:w="11901" w:h="16817"/>
      <w:pgMar w:top="851" w:right="844" w:bottom="1440" w:left="1080" w:header="426" w:footer="9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683FF2" w:rsidRDefault="00683FF2">
      <w:pPr>
        <w:spacing w:after="0"/>
      </w:pPr>
      <w:r>
        <w:separator/>
      </w:r>
    </w:p>
  </w:endnote>
  <w:endnote w:type="continuationSeparator" w:id="0">
    <w:p w14:paraId="10E89B22" w14:textId="77777777" w:rsidR="00683FF2" w:rsidRDefault="00683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766C" w14:textId="24728E23" w:rsidR="00567EAD" w:rsidRDefault="00E96E55">
    <w:pPr>
      <w:pStyle w:val="Footer"/>
    </w:pPr>
    <w:r w:rsidRPr="00567EAD">
      <w:rPr>
        <w:noProof/>
        <w:color w:val="FFFFFF" w:themeColor="background1"/>
        <w:lang w:val="en-AU" w:eastAsia="en-AU"/>
      </w:rPr>
      <mc:AlternateContent>
        <mc:Choice Requires="wps">
          <w:drawing>
            <wp:anchor distT="0" distB="0" distL="114300" distR="114300" simplePos="0" relativeHeight="251669504" behindDoc="0" locked="0" layoutInCell="1" allowOverlap="1" wp14:anchorId="59C3917B" wp14:editId="07A1BD14">
              <wp:simplePos x="0" y="0"/>
              <wp:positionH relativeFrom="column">
                <wp:posOffset>-936625</wp:posOffset>
              </wp:positionH>
              <wp:positionV relativeFrom="paragraph">
                <wp:posOffset>59414</wp:posOffset>
              </wp:positionV>
              <wp:extent cx="8093075" cy="310515"/>
              <wp:effectExtent l="0" t="0" r="3175" b="0"/>
              <wp:wrapNone/>
              <wp:docPr id="8" name="Rectangle 8"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310515"/>
                      </a:xfrm>
                      <a:prstGeom prst="rect">
                        <a:avLst/>
                      </a:prstGeom>
                      <a:solidFill>
                        <a:srgbClr val="41190B"/>
                      </a:solidFill>
                      <a:ln>
                        <a:noFill/>
                      </a:ln>
                      <a:extLst/>
                    </wps:spPr>
                    <wps:txbx>
                      <w:txbxContent>
                        <w:p w14:paraId="3CA70E98" w14:textId="77777777" w:rsidR="00E96E55" w:rsidRPr="00D3204C" w:rsidRDefault="00E96E55" w:rsidP="00E96E55">
                          <w:pPr>
                            <w:pStyle w:val="Footer"/>
                            <w:jc w:val="center"/>
                            <w:rPr>
                              <w:noProof/>
                              <w:sz w:val="20"/>
                              <w:szCs w:val="20"/>
                            </w:rPr>
                          </w:pPr>
                          <w:r w:rsidRPr="00D3204C">
                            <w:rPr>
                              <w:sz w:val="20"/>
                              <w:szCs w:val="20"/>
                            </w:rPr>
                            <w:t xml:space="preserve">Page </w:t>
                          </w:r>
                          <w:sdt>
                            <w:sdtPr>
                              <w:rPr>
                                <w:sz w:val="20"/>
                                <w:szCs w:val="20"/>
                              </w:rPr>
                              <w:id w:val="325094532"/>
                              <w:docPartObj>
                                <w:docPartGallery w:val="Page Numbers (Bottom of Page)"/>
                                <w:docPartUnique/>
                              </w:docPartObj>
                            </w:sdtPr>
                            <w:sdtEndPr>
                              <w:rPr>
                                <w:noProof/>
                              </w:rPr>
                            </w:sdtEndPr>
                            <w:sdtContent>
                              <w:r w:rsidRPr="00D3204C">
                                <w:rPr>
                                  <w:sz w:val="20"/>
                                  <w:szCs w:val="20"/>
                                </w:rPr>
                                <w:fldChar w:fldCharType="begin"/>
                              </w:r>
                              <w:r w:rsidRPr="00D3204C">
                                <w:rPr>
                                  <w:sz w:val="20"/>
                                  <w:szCs w:val="20"/>
                                </w:rPr>
                                <w:instrText xml:space="preserve"> PAGE   \* MERGEFORMAT </w:instrText>
                              </w:r>
                              <w:r w:rsidRPr="00D3204C">
                                <w:rPr>
                                  <w:sz w:val="20"/>
                                  <w:szCs w:val="20"/>
                                </w:rPr>
                                <w:fldChar w:fldCharType="separate"/>
                              </w:r>
                              <w:r w:rsidR="00C9286C">
                                <w:rPr>
                                  <w:noProof/>
                                  <w:sz w:val="20"/>
                                  <w:szCs w:val="20"/>
                                </w:rPr>
                                <w:t>3</w:t>
                              </w:r>
                              <w:r w:rsidRPr="00D3204C">
                                <w:rPr>
                                  <w:noProof/>
                                  <w:sz w:val="20"/>
                                  <w:szCs w:val="20"/>
                                </w:rPr>
                                <w:fldChar w:fldCharType="end"/>
                              </w:r>
                              <w:r w:rsidRPr="00D3204C">
                                <w:rPr>
                                  <w:noProof/>
                                  <w:sz w:val="20"/>
                                  <w:szCs w:val="20"/>
                                </w:rPr>
                                <w:t xml:space="preserve"> of </w:t>
                              </w:r>
                              <w:r w:rsidRPr="00D3204C">
                                <w:rPr>
                                  <w:noProof/>
                                  <w:sz w:val="20"/>
                                  <w:szCs w:val="20"/>
                                </w:rPr>
                                <w:fldChar w:fldCharType="begin"/>
                              </w:r>
                              <w:r w:rsidRPr="00D3204C">
                                <w:rPr>
                                  <w:noProof/>
                                  <w:sz w:val="20"/>
                                  <w:szCs w:val="20"/>
                                </w:rPr>
                                <w:instrText xml:space="preserve"> NUMPAGES   \* MERGEFORMAT </w:instrText>
                              </w:r>
                              <w:r w:rsidRPr="00D3204C">
                                <w:rPr>
                                  <w:noProof/>
                                  <w:sz w:val="20"/>
                                  <w:szCs w:val="20"/>
                                </w:rPr>
                                <w:fldChar w:fldCharType="separate"/>
                              </w:r>
                              <w:r w:rsidR="00C9286C">
                                <w:rPr>
                                  <w:noProof/>
                                  <w:sz w:val="20"/>
                                  <w:szCs w:val="20"/>
                                </w:rPr>
                                <w:t>3</w:t>
                              </w:r>
                              <w:r w:rsidRPr="00D3204C">
                                <w:rPr>
                                  <w:noProof/>
                                  <w:sz w:val="20"/>
                                  <w:szCs w:val="20"/>
                                </w:rPr>
                                <w:fldChar w:fldCharType="end"/>
                              </w:r>
                            </w:sdtContent>
                          </w:sdt>
                        </w:p>
                        <w:p w14:paraId="6FE7A359" w14:textId="77777777" w:rsidR="00E96E55" w:rsidRDefault="00E96E55" w:rsidP="00E96E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917B" id="Rectangle 8" o:spid="_x0000_s1026" alt="Decorative element" style="position:absolute;margin-left:-73.75pt;margin-top:4.7pt;width:637.2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" fillcolor="#41190b" stroked="f">
              <v:textbox>
                <w:txbxContent>
                  <w:p w14:paraId="3CA70E98" w14:textId="77777777" w:rsidR="00E96E55" w:rsidRPr="00D3204C" w:rsidRDefault="00E96E55" w:rsidP="00E96E55">
                    <w:pPr>
                      <w:pStyle w:val="Footer"/>
                      <w:jc w:val="center"/>
                      <w:rPr>
                        <w:noProof/>
                        <w:sz w:val="20"/>
                        <w:szCs w:val="20"/>
                      </w:rPr>
                    </w:pPr>
                    <w:r w:rsidRPr="00D3204C">
                      <w:rPr>
                        <w:sz w:val="20"/>
                        <w:szCs w:val="20"/>
                      </w:rPr>
                      <w:t xml:space="preserve">Page </w:t>
                    </w:r>
                    <w:sdt>
                      <w:sdtPr>
                        <w:rPr>
                          <w:sz w:val="20"/>
                          <w:szCs w:val="20"/>
                        </w:rPr>
                        <w:id w:val="325094532"/>
                        <w:docPartObj>
                          <w:docPartGallery w:val="Page Numbers (Bottom of Page)"/>
                          <w:docPartUnique/>
                        </w:docPartObj>
                      </w:sdtPr>
                      <w:sdtEndPr>
                        <w:rPr>
                          <w:noProof/>
                        </w:rPr>
                      </w:sdtEndPr>
                      <w:sdtContent>
                        <w:r w:rsidRPr="00D3204C">
                          <w:rPr>
                            <w:sz w:val="20"/>
                            <w:szCs w:val="20"/>
                          </w:rPr>
                          <w:fldChar w:fldCharType="begin"/>
                        </w:r>
                        <w:r w:rsidRPr="00D3204C">
                          <w:rPr>
                            <w:sz w:val="20"/>
                            <w:szCs w:val="20"/>
                          </w:rPr>
                          <w:instrText xml:space="preserve"> PAGE   \* MERGEFORMAT </w:instrText>
                        </w:r>
                        <w:r w:rsidRPr="00D3204C">
                          <w:rPr>
                            <w:sz w:val="20"/>
                            <w:szCs w:val="20"/>
                          </w:rPr>
                          <w:fldChar w:fldCharType="separate"/>
                        </w:r>
                        <w:r w:rsidR="00C9286C">
                          <w:rPr>
                            <w:noProof/>
                            <w:sz w:val="20"/>
                            <w:szCs w:val="20"/>
                          </w:rPr>
                          <w:t>3</w:t>
                        </w:r>
                        <w:r w:rsidRPr="00D3204C">
                          <w:rPr>
                            <w:noProof/>
                            <w:sz w:val="20"/>
                            <w:szCs w:val="20"/>
                          </w:rPr>
                          <w:fldChar w:fldCharType="end"/>
                        </w:r>
                        <w:r w:rsidRPr="00D3204C">
                          <w:rPr>
                            <w:noProof/>
                            <w:sz w:val="20"/>
                            <w:szCs w:val="20"/>
                          </w:rPr>
                          <w:t xml:space="preserve"> of </w:t>
                        </w:r>
                        <w:r w:rsidRPr="00D3204C">
                          <w:rPr>
                            <w:noProof/>
                            <w:sz w:val="20"/>
                            <w:szCs w:val="20"/>
                          </w:rPr>
                          <w:fldChar w:fldCharType="begin"/>
                        </w:r>
                        <w:r w:rsidRPr="00D3204C">
                          <w:rPr>
                            <w:noProof/>
                            <w:sz w:val="20"/>
                            <w:szCs w:val="20"/>
                          </w:rPr>
                          <w:instrText xml:space="preserve"> NUMPAGES   \* MERGEFORMAT </w:instrText>
                        </w:r>
                        <w:r w:rsidRPr="00D3204C">
                          <w:rPr>
                            <w:noProof/>
                            <w:sz w:val="20"/>
                            <w:szCs w:val="20"/>
                          </w:rPr>
                          <w:fldChar w:fldCharType="separate"/>
                        </w:r>
                        <w:r w:rsidR="00C9286C">
                          <w:rPr>
                            <w:noProof/>
                            <w:sz w:val="20"/>
                            <w:szCs w:val="20"/>
                          </w:rPr>
                          <w:t>3</w:t>
                        </w:r>
                        <w:r w:rsidRPr="00D3204C">
                          <w:rPr>
                            <w:noProof/>
                            <w:sz w:val="20"/>
                            <w:szCs w:val="20"/>
                          </w:rPr>
                          <w:fldChar w:fldCharType="end"/>
                        </w:r>
                      </w:sdtContent>
                    </w:sdt>
                  </w:p>
                  <w:p w14:paraId="6FE7A359" w14:textId="77777777" w:rsidR="00E96E55" w:rsidRDefault="00E96E55" w:rsidP="00E96E55">
                    <w:pPr>
                      <w:jc w:val="center"/>
                    </w:pPr>
                  </w:p>
                </w:txbxContent>
              </v:textbox>
            </v:rect>
          </w:pict>
        </mc:Fallback>
      </mc:AlternateContent>
    </w:r>
    <w:r w:rsidRPr="00567EAD">
      <w:rPr>
        <w:noProof/>
        <w:color w:val="FFFFFF" w:themeColor="background1"/>
        <w:lang w:val="en-AU" w:eastAsia="en-AU"/>
      </w:rPr>
      <mc:AlternateContent>
        <mc:Choice Requires="wps">
          <w:drawing>
            <wp:anchor distT="0" distB="0" distL="114300" distR="114300" simplePos="0" relativeHeight="251667456" behindDoc="0" locked="0" layoutInCell="1" allowOverlap="1" wp14:anchorId="37A80125" wp14:editId="118529F3">
              <wp:simplePos x="0" y="0"/>
              <wp:positionH relativeFrom="column">
                <wp:posOffset>-1049655</wp:posOffset>
              </wp:positionH>
              <wp:positionV relativeFrom="paragraph">
                <wp:posOffset>289670</wp:posOffset>
              </wp:positionV>
              <wp:extent cx="8093075" cy="928011"/>
              <wp:effectExtent l="0" t="0" r="3175" b="5715"/>
              <wp:wrapNone/>
              <wp:docPr id="9" name="Rectangle 9"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928011"/>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0E69" w14:textId="77777777" w:rsidR="00E96E55" w:rsidRPr="00D3204C" w:rsidRDefault="00E96E55" w:rsidP="00D3204C">
                          <w:pPr>
                            <w:spacing w:after="0" w:line="240" w:lineRule="auto"/>
                            <w:ind w:right="823"/>
                            <w:jc w:val="right"/>
                            <w:rPr>
                              <w:i/>
                              <w:color w:val="FFFFFF" w:themeColor="background1"/>
                              <w:sz w:val="18"/>
                              <w:szCs w:val="18"/>
                            </w:rPr>
                          </w:pPr>
                        </w:p>
                        <w:p w14:paraId="3B148C11" w14:textId="07128E99" w:rsidR="00E96E55" w:rsidRPr="00D3204C" w:rsidRDefault="002C0C8D" w:rsidP="002C0C8D">
                          <w:pPr>
                            <w:spacing w:after="0" w:line="240" w:lineRule="auto"/>
                            <w:ind w:right="823"/>
                            <w:jc w:val="center"/>
                            <w:rPr>
                              <w:i/>
                              <w:color w:val="FFFFFF" w:themeColor="background1"/>
                              <w:sz w:val="18"/>
                              <w:szCs w:val="18"/>
                            </w:rPr>
                          </w:pPr>
                          <w:r>
                            <w:rPr>
                              <w:i/>
                              <w:color w:val="FFFFFF" w:themeColor="background1"/>
                              <w:sz w:val="18"/>
                              <w:szCs w:val="18"/>
                            </w:rPr>
                            <w:t xml:space="preserve">   </w:t>
                          </w:r>
                          <w:r w:rsidR="00F728DA">
                            <w:rPr>
                              <w:i/>
                              <w:color w:val="FFFFFF" w:themeColor="background1"/>
                              <w:sz w:val="18"/>
                              <w:szCs w:val="18"/>
                            </w:rPr>
                            <w:tab/>
                            <w:t>Australian Federation of Disability Organisations (AFDO) – DSP Key Principles – 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0125" id="Rectangle 9" o:spid="_x0000_s1027" alt="Decorative element" style="position:absolute;margin-left:-82.65pt;margin-top:22.8pt;width:637.2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" fillcolor="#009690" stroked="f">
              <v:textbox>
                <w:txbxContent>
                  <w:p w14:paraId="196B0E69" w14:textId="77777777" w:rsidR="00E96E55" w:rsidRPr="00D3204C" w:rsidRDefault="00E96E55" w:rsidP="00D3204C">
                    <w:pPr>
                      <w:spacing w:after="0" w:line="240" w:lineRule="auto"/>
                      <w:ind w:right="823"/>
                      <w:jc w:val="right"/>
                      <w:rPr>
                        <w:i/>
                        <w:color w:val="FFFFFF" w:themeColor="background1"/>
                        <w:sz w:val="18"/>
                        <w:szCs w:val="18"/>
                      </w:rPr>
                    </w:pPr>
                  </w:p>
                  <w:p w14:paraId="3B148C11" w14:textId="07128E99" w:rsidR="00E96E55" w:rsidRPr="00D3204C" w:rsidRDefault="002C0C8D" w:rsidP="002C0C8D">
                    <w:pPr>
                      <w:spacing w:after="0" w:line="240" w:lineRule="auto"/>
                      <w:ind w:right="823"/>
                      <w:jc w:val="center"/>
                      <w:rPr>
                        <w:i/>
                        <w:color w:val="FFFFFF" w:themeColor="background1"/>
                        <w:sz w:val="18"/>
                        <w:szCs w:val="18"/>
                      </w:rPr>
                    </w:pPr>
                    <w:r>
                      <w:rPr>
                        <w:i/>
                        <w:color w:val="FFFFFF" w:themeColor="background1"/>
                        <w:sz w:val="18"/>
                        <w:szCs w:val="18"/>
                      </w:rPr>
                      <w:t xml:space="preserve">   </w:t>
                    </w:r>
                    <w:r w:rsidR="00F728DA">
                      <w:rPr>
                        <w:i/>
                        <w:color w:val="FFFFFF" w:themeColor="background1"/>
                        <w:sz w:val="18"/>
                        <w:szCs w:val="18"/>
                      </w:rPr>
                      <w:tab/>
                      <w:t xml:space="preserve">Australian Federation of Disability </w:t>
                    </w:r>
                    <w:proofErr w:type="spellStart"/>
                    <w:r w:rsidR="00F728DA">
                      <w:rPr>
                        <w:i/>
                        <w:color w:val="FFFFFF" w:themeColor="background1"/>
                        <w:sz w:val="18"/>
                        <w:szCs w:val="18"/>
                      </w:rPr>
                      <w:t>Organisations</w:t>
                    </w:r>
                    <w:proofErr w:type="spellEnd"/>
                    <w:r w:rsidR="00F728DA">
                      <w:rPr>
                        <w:i/>
                        <w:color w:val="FFFFFF" w:themeColor="background1"/>
                        <w:sz w:val="18"/>
                        <w:szCs w:val="18"/>
                      </w:rPr>
                      <w:t xml:space="preserve"> (AFDO) – DSP Key Principles – November 2018</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1DDE" w14:textId="27EEB9BF" w:rsidR="00683FF2" w:rsidRPr="009F1A6D" w:rsidRDefault="00683FF2">
    <w:pPr>
      <w:pStyle w:val="Footer"/>
      <w:jc w:val="center"/>
      <w:rPr>
        <w:sz w:val="28"/>
        <w:szCs w:val="28"/>
      </w:rPr>
    </w:pPr>
  </w:p>
  <w:p w14:paraId="7BC1AB75" w14:textId="0C58AB62" w:rsidR="00683FF2" w:rsidRDefault="00567EAD" w:rsidP="004D6D08">
    <w:pPr>
      <w:pStyle w:val="Footer"/>
      <w:tabs>
        <w:tab w:val="clear" w:pos="8640"/>
        <w:tab w:val="right" w:pos="9639"/>
      </w:tabs>
    </w:pPr>
    <w:r w:rsidRPr="00567EAD">
      <w:rPr>
        <w:noProof/>
        <w:color w:val="FFFFFF" w:themeColor="background1"/>
        <w:lang w:val="en-AU" w:eastAsia="en-AU"/>
      </w:rPr>
      <mc:AlternateContent>
        <mc:Choice Requires="wps">
          <w:drawing>
            <wp:anchor distT="0" distB="0" distL="114300" distR="114300" simplePos="0" relativeHeight="251663360" behindDoc="0" locked="0" layoutInCell="1" allowOverlap="1" wp14:anchorId="7F1CA85C" wp14:editId="3B33EA07">
              <wp:simplePos x="0" y="0"/>
              <wp:positionH relativeFrom="column">
                <wp:posOffset>-1202055</wp:posOffset>
              </wp:positionH>
              <wp:positionV relativeFrom="paragraph">
                <wp:posOffset>41275</wp:posOffset>
              </wp:positionV>
              <wp:extent cx="8093075" cy="310515"/>
              <wp:effectExtent l="0" t="0" r="3175" b="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310515"/>
                      </a:xfrm>
                      <a:prstGeom prst="rect">
                        <a:avLst/>
                      </a:prstGeom>
                      <a:solidFill>
                        <a:srgbClr val="41190B"/>
                      </a:solidFill>
                      <a:ln>
                        <a:noFill/>
                      </a:ln>
                      <a:extLst/>
                    </wps:spPr>
                    <wps:txbx>
                      <w:txbxContent>
                        <w:p w14:paraId="6C07A987" w14:textId="0AC21AB5" w:rsidR="00567EAD" w:rsidRPr="00D3204C" w:rsidRDefault="00567EAD" w:rsidP="00567EAD">
                          <w:pPr>
                            <w:pStyle w:val="Footer"/>
                            <w:jc w:val="center"/>
                            <w:rPr>
                              <w:noProof/>
                              <w:sz w:val="20"/>
                              <w:szCs w:val="20"/>
                            </w:rPr>
                          </w:pPr>
                          <w:r w:rsidRPr="00D3204C">
                            <w:rPr>
                              <w:sz w:val="20"/>
                              <w:szCs w:val="20"/>
                            </w:rPr>
                            <w:t xml:space="preserve">Page </w:t>
                          </w:r>
                          <w:sdt>
                            <w:sdtPr>
                              <w:rPr>
                                <w:sz w:val="20"/>
                                <w:szCs w:val="20"/>
                              </w:rPr>
                              <w:id w:val="114334184"/>
                              <w:docPartObj>
                                <w:docPartGallery w:val="Page Numbers (Bottom of Page)"/>
                                <w:docPartUnique/>
                              </w:docPartObj>
                            </w:sdtPr>
                            <w:sdtEndPr>
                              <w:rPr>
                                <w:noProof/>
                              </w:rPr>
                            </w:sdtEndPr>
                            <w:sdtContent>
                              <w:r w:rsidRPr="00D3204C">
                                <w:rPr>
                                  <w:sz w:val="20"/>
                                  <w:szCs w:val="20"/>
                                </w:rPr>
                                <w:fldChar w:fldCharType="begin"/>
                              </w:r>
                              <w:r w:rsidRPr="00D3204C">
                                <w:rPr>
                                  <w:sz w:val="20"/>
                                  <w:szCs w:val="20"/>
                                </w:rPr>
                                <w:instrText xml:space="preserve"> PAGE   \* MERGEFORMAT </w:instrText>
                              </w:r>
                              <w:r w:rsidRPr="00D3204C">
                                <w:rPr>
                                  <w:sz w:val="20"/>
                                  <w:szCs w:val="20"/>
                                </w:rPr>
                                <w:fldChar w:fldCharType="separate"/>
                              </w:r>
                              <w:r w:rsidR="00BE5D0C">
                                <w:rPr>
                                  <w:noProof/>
                                  <w:sz w:val="20"/>
                                  <w:szCs w:val="20"/>
                                </w:rPr>
                                <w:t>1</w:t>
                              </w:r>
                              <w:r w:rsidRPr="00D3204C">
                                <w:rPr>
                                  <w:noProof/>
                                  <w:sz w:val="20"/>
                                  <w:szCs w:val="20"/>
                                </w:rPr>
                                <w:fldChar w:fldCharType="end"/>
                              </w:r>
                              <w:r w:rsidRPr="00D3204C">
                                <w:rPr>
                                  <w:noProof/>
                                  <w:sz w:val="20"/>
                                  <w:szCs w:val="20"/>
                                </w:rPr>
                                <w:t xml:space="preserve"> of </w:t>
                              </w:r>
                              <w:r w:rsidRPr="00D3204C">
                                <w:rPr>
                                  <w:noProof/>
                                  <w:sz w:val="20"/>
                                  <w:szCs w:val="20"/>
                                </w:rPr>
                                <w:fldChar w:fldCharType="begin"/>
                              </w:r>
                              <w:r w:rsidRPr="00D3204C">
                                <w:rPr>
                                  <w:noProof/>
                                  <w:sz w:val="20"/>
                                  <w:szCs w:val="20"/>
                                </w:rPr>
                                <w:instrText xml:space="preserve"> NUMPAGES   \* MERGEFORMAT </w:instrText>
                              </w:r>
                              <w:r w:rsidRPr="00D3204C">
                                <w:rPr>
                                  <w:noProof/>
                                  <w:sz w:val="20"/>
                                  <w:szCs w:val="20"/>
                                </w:rPr>
                                <w:fldChar w:fldCharType="separate"/>
                              </w:r>
                              <w:r w:rsidR="00BE5D0C">
                                <w:rPr>
                                  <w:noProof/>
                                  <w:sz w:val="20"/>
                                  <w:szCs w:val="20"/>
                                </w:rPr>
                                <w:t>1</w:t>
                              </w:r>
                              <w:r w:rsidRPr="00D3204C">
                                <w:rPr>
                                  <w:noProof/>
                                  <w:sz w:val="20"/>
                                  <w:szCs w:val="20"/>
                                </w:rPr>
                                <w:fldChar w:fldCharType="end"/>
                              </w:r>
                            </w:sdtContent>
                          </w:sdt>
                        </w:p>
                        <w:p w14:paraId="56F23EC5" w14:textId="24A17547" w:rsidR="00567EAD" w:rsidRDefault="00567EAD" w:rsidP="00567E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A85C" id="Rectangle 12" o:spid="_x0000_s1028" alt="Decorative element" style="position:absolute;margin-left:-94.65pt;margin-top:3.25pt;width:637.2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" fillcolor="#41190b" stroked="f">
              <v:textbox>
                <w:txbxContent>
                  <w:p w14:paraId="6C07A987" w14:textId="0AC21AB5" w:rsidR="00567EAD" w:rsidRPr="00D3204C" w:rsidRDefault="00567EAD" w:rsidP="00567EAD">
                    <w:pPr>
                      <w:pStyle w:val="Footer"/>
                      <w:jc w:val="center"/>
                      <w:rPr>
                        <w:noProof/>
                        <w:sz w:val="20"/>
                        <w:szCs w:val="20"/>
                      </w:rPr>
                    </w:pPr>
                    <w:r w:rsidRPr="00D3204C">
                      <w:rPr>
                        <w:sz w:val="20"/>
                        <w:szCs w:val="20"/>
                      </w:rPr>
                      <w:t xml:space="preserve">Page </w:t>
                    </w:r>
                    <w:sdt>
                      <w:sdtPr>
                        <w:rPr>
                          <w:sz w:val="20"/>
                          <w:szCs w:val="20"/>
                        </w:rPr>
                        <w:id w:val="114334184"/>
                        <w:docPartObj>
                          <w:docPartGallery w:val="Page Numbers (Bottom of Page)"/>
                          <w:docPartUnique/>
                        </w:docPartObj>
                      </w:sdtPr>
                      <w:sdtEndPr>
                        <w:rPr>
                          <w:noProof/>
                        </w:rPr>
                      </w:sdtEndPr>
                      <w:sdtContent>
                        <w:r w:rsidRPr="00D3204C">
                          <w:rPr>
                            <w:sz w:val="20"/>
                            <w:szCs w:val="20"/>
                          </w:rPr>
                          <w:fldChar w:fldCharType="begin"/>
                        </w:r>
                        <w:r w:rsidRPr="00D3204C">
                          <w:rPr>
                            <w:sz w:val="20"/>
                            <w:szCs w:val="20"/>
                          </w:rPr>
                          <w:instrText xml:space="preserve"> PAGE   \* MERGEFORMAT </w:instrText>
                        </w:r>
                        <w:r w:rsidRPr="00D3204C">
                          <w:rPr>
                            <w:sz w:val="20"/>
                            <w:szCs w:val="20"/>
                          </w:rPr>
                          <w:fldChar w:fldCharType="separate"/>
                        </w:r>
                        <w:r w:rsidR="00BE5D0C">
                          <w:rPr>
                            <w:noProof/>
                            <w:sz w:val="20"/>
                            <w:szCs w:val="20"/>
                          </w:rPr>
                          <w:t>1</w:t>
                        </w:r>
                        <w:r w:rsidRPr="00D3204C">
                          <w:rPr>
                            <w:noProof/>
                            <w:sz w:val="20"/>
                            <w:szCs w:val="20"/>
                          </w:rPr>
                          <w:fldChar w:fldCharType="end"/>
                        </w:r>
                        <w:r w:rsidRPr="00D3204C">
                          <w:rPr>
                            <w:noProof/>
                            <w:sz w:val="20"/>
                            <w:szCs w:val="20"/>
                          </w:rPr>
                          <w:t xml:space="preserve"> of </w:t>
                        </w:r>
                        <w:r w:rsidRPr="00D3204C">
                          <w:rPr>
                            <w:noProof/>
                            <w:sz w:val="20"/>
                            <w:szCs w:val="20"/>
                          </w:rPr>
                          <w:fldChar w:fldCharType="begin"/>
                        </w:r>
                        <w:r w:rsidRPr="00D3204C">
                          <w:rPr>
                            <w:noProof/>
                            <w:sz w:val="20"/>
                            <w:szCs w:val="20"/>
                          </w:rPr>
                          <w:instrText xml:space="preserve"> NUMPAGES   \* MERGEFORMAT </w:instrText>
                        </w:r>
                        <w:r w:rsidRPr="00D3204C">
                          <w:rPr>
                            <w:noProof/>
                            <w:sz w:val="20"/>
                            <w:szCs w:val="20"/>
                          </w:rPr>
                          <w:fldChar w:fldCharType="separate"/>
                        </w:r>
                        <w:r w:rsidR="00BE5D0C">
                          <w:rPr>
                            <w:noProof/>
                            <w:sz w:val="20"/>
                            <w:szCs w:val="20"/>
                          </w:rPr>
                          <w:t>1</w:t>
                        </w:r>
                        <w:r w:rsidRPr="00D3204C">
                          <w:rPr>
                            <w:noProof/>
                            <w:sz w:val="20"/>
                            <w:szCs w:val="20"/>
                          </w:rPr>
                          <w:fldChar w:fldCharType="end"/>
                        </w:r>
                      </w:sdtContent>
                    </w:sdt>
                  </w:p>
                  <w:p w14:paraId="56F23EC5" w14:textId="24A17547" w:rsidR="00567EAD" w:rsidRDefault="00567EAD" w:rsidP="00567EAD">
                    <w:pPr>
                      <w:jc w:val="center"/>
                    </w:pPr>
                  </w:p>
                </w:txbxContent>
              </v:textbox>
            </v:rect>
          </w:pict>
        </mc:Fallback>
      </mc:AlternateContent>
    </w:r>
    <w:r w:rsidR="00683FF2" w:rsidRPr="00567EAD">
      <w:rPr>
        <w:noProof/>
        <w:color w:val="FFFFFF" w:themeColor="background1"/>
        <w:lang w:val="en-AU" w:eastAsia="en-AU"/>
      </w:rPr>
      <mc:AlternateContent>
        <mc:Choice Requires="wps">
          <w:drawing>
            <wp:anchor distT="0" distB="0" distL="114300" distR="114300" simplePos="0" relativeHeight="251661312" behindDoc="0" locked="0" layoutInCell="1" allowOverlap="1" wp14:anchorId="67D66663" wp14:editId="09157B71">
              <wp:simplePos x="0" y="0"/>
              <wp:positionH relativeFrom="column">
                <wp:posOffset>-1202580</wp:posOffset>
              </wp:positionH>
              <wp:positionV relativeFrom="paragraph">
                <wp:posOffset>256954</wp:posOffset>
              </wp:positionV>
              <wp:extent cx="8093075" cy="928011"/>
              <wp:effectExtent l="0" t="0" r="3175" b="571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928011"/>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32692" w14:textId="77777777" w:rsidR="00567EAD" w:rsidRPr="00D3204C" w:rsidRDefault="00567EAD" w:rsidP="00D3204C">
                          <w:pPr>
                            <w:spacing w:after="0" w:line="240" w:lineRule="auto"/>
                            <w:jc w:val="right"/>
                            <w:rPr>
                              <w:b/>
                              <w:i/>
                              <w:color w:val="FFFFFF" w:themeColor="background1"/>
                              <w:sz w:val="20"/>
                              <w:szCs w:val="20"/>
                            </w:rPr>
                          </w:pPr>
                        </w:p>
                        <w:p w14:paraId="419187C6" w14:textId="77777777" w:rsidR="00F728DA" w:rsidRPr="00D3204C" w:rsidRDefault="00F728DA" w:rsidP="00F728DA">
                          <w:pPr>
                            <w:spacing w:after="0" w:line="240" w:lineRule="auto"/>
                            <w:ind w:right="823"/>
                            <w:jc w:val="center"/>
                            <w:rPr>
                              <w:i/>
                              <w:color w:val="FFFFFF" w:themeColor="background1"/>
                              <w:sz w:val="18"/>
                              <w:szCs w:val="18"/>
                            </w:rPr>
                          </w:pPr>
                          <w:r>
                            <w:rPr>
                              <w:i/>
                              <w:color w:val="FFFFFF" w:themeColor="background1"/>
                              <w:sz w:val="18"/>
                              <w:szCs w:val="18"/>
                            </w:rPr>
                            <w:t>Australian Federation of Disability Organisations (AFDO) – DSP Key Principles – November 2018</w:t>
                          </w:r>
                        </w:p>
                        <w:p w14:paraId="6EC25B0C" w14:textId="404C1369" w:rsidR="00567EAD" w:rsidRPr="00D3204C" w:rsidRDefault="00567EAD" w:rsidP="00F728DA">
                          <w:pPr>
                            <w:spacing w:after="0" w:line="240" w:lineRule="auto"/>
                            <w:ind w:right="540"/>
                            <w:jc w:val="right"/>
                            <w:rPr>
                              <w:i/>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6663" id="Rectangle 11" o:spid="_x0000_s1029" alt="Decorative element" style="position:absolute;margin-left:-94.7pt;margin-top:20.25pt;width:637.25pt;height: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" fillcolor="#009690" stroked="f">
              <v:textbox>
                <w:txbxContent>
                  <w:p w14:paraId="40C32692" w14:textId="77777777" w:rsidR="00567EAD" w:rsidRPr="00D3204C" w:rsidRDefault="00567EAD" w:rsidP="00D3204C">
                    <w:pPr>
                      <w:spacing w:after="0" w:line="240" w:lineRule="auto"/>
                      <w:jc w:val="right"/>
                      <w:rPr>
                        <w:b/>
                        <w:i/>
                        <w:color w:val="FFFFFF" w:themeColor="background1"/>
                        <w:sz w:val="20"/>
                        <w:szCs w:val="20"/>
                      </w:rPr>
                    </w:pPr>
                  </w:p>
                  <w:p w14:paraId="419187C6" w14:textId="77777777" w:rsidR="00F728DA" w:rsidRPr="00D3204C" w:rsidRDefault="00F728DA" w:rsidP="00F728DA">
                    <w:pPr>
                      <w:spacing w:after="0" w:line="240" w:lineRule="auto"/>
                      <w:ind w:right="823"/>
                      <w:jc w:val="center"/>
                      <w:rPr>
                        <w:i/>
                        <w:color w:val="FFFFFF" w:themeColor="background1"/>
                        <w:sz w:val="18"/>
                        <w:szCs w:val="18"/>
                      </w:rPr>
                    </w:pPr>
                    <w:r>
                      <w:rPr>
                        <w:i/>
                        <w:color w:val="FFFFFF" w:themeColor="background1"/>
                        <w:sz w:val="18"/>
                        <w:szCs w:val="18"/>
                      </w:rPr>
                      <w:t xml:space="preserve">Australian Federation of Disability </w:t>
                    </w:r>
                    <w:proofErr w:type="spellStart"/>
                    <w:r>
                      <w:rPr>
                        <w:i/>
                        <w:color w:val="FFFFFF" w:themeColor="background1"/>
                        <w:sz w:val="18"/>
                        <w:szCs w:val="18"/>
                      </w:rPr>
                      <w:t>Organisations</w:t>
                    </w:r>
                    <w:proofErr w:type="spellEnd"/>
                    <w:r>
                      <w:rPr>
                        <w:i/>
                        <w:color w:val="FFFFFF" w:themeColor="background1"/>
                        <w:sz w:val="18"/>
                        <w:szCs w:val="18"/>
                      </w:rPr>
                      <w:t xml:space="preserve"> (AFDO) – DSP Key Principles – November 2018</w:t>
                    </w:r>
                  </w:p>
                  <w:p w14:paraId="6EC25B0C" w14:textId="404C1369" w:rsidR="00567EAD" w:rsidRPr="00D3204C" w:rsidRDefault="00567EAD" w:rsidP="00F728DA">
                    <w:pPr>
                      <w:spacing w:after="0" w:line="240" w:lineRule="auto"/>
                      <w:ind w:right="540"/>
                      <w:jc w:val="right"/>
                      <w:rPr>
                        <w:i/>
                        <w:color w:val="FFFFFF" w:themeColor="background1"/>
                        <w:sz w:val="18"/>
                        <w:szCs w:val="1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683FF2" w:rsidRDefault="00683FF2">
      <w:pPr>
        <w:spacing w:after="0"/>
      </w:pPr>
      <w:r>
        <w:separator/>
      </w:r>
    </w:p>
  </w:footnote>
  <w:footnote w:type="continuationSeparator" w:id="0">
    <w:p w14:paraId="0FD9AFAA" w14:textId="77777777" w:rsidR="00683FF2" w:rsidRDefault="00683FF2">
      <w:pPr>
        <w:spacing w:after="0"/>
      </w:pPr>
      <w:r>
        <w:continuationSeparator/>
      </w:r>
    </w:p>
  </w:footnote>
  <w:footnote w:id="1">
    <w:p w14:paraId="14F4A924" w14:textId="77777777" w:rsidR="00F728DA" w:rsidRPr="00B674A8" w:rsidRDefault="00F728DA" w:rsidP="00F728DA">
      <w:pPr>
        <w:rPr>
          <w:lang w:val="en-AU"/>
        </w:rPr>
      </w:pPr>
      <w:r>
        <w:rPr>
          <w:rStyle w:val="FootnoteReference"/>
        </w:rPr>
        <w:footnoteRef/>
      </w:r>
      <w:r>
        <w:t xml:space="preserve"> Committee on Economic, Social and Cultural Rights, </w:t>
      </w:r>
      <w:r>
        <w:rPr>
          <w:i/>
        </w:rPr>
        <w:t xml:space="preserve">General Comment No 19 (2008): The Right to Social Security, </w:t>
      </w:r>
      <w:r>
        <w:t>39</w:t>
      </w:r>
      <w:r w:rsidRPr="009235B8">
        <w:rPr>
          <w:vertAlign w:val="superscript"/>
        </w:rPr>
        <w:t>th</w:t>
      </w:r>
      <w:r w:rsidRPr="009235B8">
        <w:t xml:space="preserve"> sess, </w:t>
      </w:r>
      <w:r>
        <w:t xml:space="preserve">UN Doc E/C.12/GC/19 (4 February 2008) para 3; United Nations General Assembly, </w:t>
      </w:r>
      <w:r>
        <w:rPr>
          <w:i/>
        </w:rPr>
        <w:t>Report of the Special Rapporteur on the rights of persons with disabilities</w:t>
      </w:r>
      <w:r>
        <w:t>, 70</w:t>
      </w:r>
      <w:r w:rsidRPr="00B674A8">
        <w:rPr>
          <w:vertAlign w:val="superscript"/>
        </w:rPr>
        <w:t>th</w:t>
      </w:r>
      <w:r>
        <w:t xml:space="preserve"> sess, UN Doc A/70/297 (7 August 2015)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683FF2" w:rsidRPr="00990CB1" w:rsidRDefault="00683FF2" w:rsidP="004D6D0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795D3E"/>
    <w:multiLevelType w:val="multilevel"/>
    <w:tmpl w:val="8EB8906C"/>
    <w:lvl w:ilvl="0">
      <w:start w:val="1"/>
      <w:numFmt w:val="lowerLetter"/>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05BCE"/>
    <w:multiLevelType w:val="hybridMultilevel"/>
    <w:tmpl w:val="79B467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928AB"/>
    <w:multiLevelType w:val="hybridMultilevel"/>
    <w:tmpl w:val="46B620B8"/>
    <w:lvl w:ilvl="0" w:tplc="83E0C52C">
      <w:start w:val="1"/>
      <w:numFmt w:val="decimal"/>
      <w:lvlText w:val="%1."/>
      <w:lvlJc w:val="left"/>
      <w:pPr>
        <w:ind w:left="720" w:hanging="360"/>
      </w:pPr>
      <w:rPr>
        <w:rFonts w:ascii="Arial" w:hAnsi="Arial"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A3494"/>
    <w:multiLevelType w:val="hybridMultilevel"/>
    <w:tmpl w:val="93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D554CB"/>
    <w:multiLevelType w:val="multilevel"/>
    <w:tmpl w:val="1E26F730"/>
    <w:lvl w:ilvl="0">
      <w:start w:val="1"/>
      <w:numFmt w:val="lowerLetter"/>
      <w:lvlText w:val="%1."/>
      <w:lvlJc w:val="left"/>
      <w:pPr>
        <w:tabs>
          <w:tab w:val="num" w:pos="1211"/>
        </w:tabs>
        <w:ind w:left="1211" w:hanging="360"/>
      </w:pPr>
      <w:rPr>
        <w:rFonts w:ascii="Arial" w:eastAsia="Times New Roman" w:hAnsi="Arial" w:cs="Arial" w:hint="default"/>
        <w:sz w:val="24"/>
        <w:szCs w:val="24"/>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5" w15:restartNumberingAfterBreak="0">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84C01"/>
    <w:multiLevelType w:val="hybridMultilevel"/>
    <w:tmpl w:val="14E85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61F62"/>
    <w:multiLevelType w:val="hybridMultilevel"/>
    <w:tmpl w:val="BFB8AB9E"/>
    <w:lvl w:ilvl="0" w:tplc="04090019">
      <w:start w:val="1"/>
      <w:numFmt w:val="lowerLetter"/>
      <w:lvlText w:val="%1."/>
      <w:lvlJc w:val="left"/>
      <w:pPr>
        <w:tabs>
          <w:tab w:val="num" w:pos="1113"/>
        </w:tabs>
        <w:ind w:left="1113" w:hanging="360"/>
      </w:pPr>
      <w:rPr>
        <w:rFonts w:hint="default"/>
      </w:rPr>
    </w:lvl>
    <w:lvl w:ilvl="1" w:tplc="04090019" w:tentative="1">
      <w:start w:val="1"/>
      <w:numFmt w:val="lowerLetter"/>
      <w:lvlText w:val="%2."/>
      <w:lvlJc w:val="left"/>
      <w:pPr>
        <w:tabs>
          <w:tab w:val="num" w:pos="1833"/>
        </w:tabs>
        <w:ind w:left="1833" w:hanging="360"/>
      </w:pPr>
    </w:lvl>
    <w:lvl w:ilvl="2" w:tplc="0409001B" w:tentative="1">
      <w:start w:val="1"/>
      <w:numFmt w:val="lowerRoman"/>
      <w:lvlText w:val="%3."/>
      <w:lvlJc w:val="right"/>
      <w:pPr>
        <w:tabs>
          <w:tab w:val="num" w:pos="2553"/>
        </w:tabs>
        <w:ind w:left="2553" w:hanging="180"/>
      </w:pPr>
    </w:lvl>
    <w:lvl w:ilvl="3" w:tplc="0409000F" w:tentative="1">
      <w:start w:val="1"/>
      <w:numFmt w:val="decimal"/>
      <w:lvlText w:val="%4."/>
      <w:lvlJc w:val="left"/>
      <w:pPr>
        <w:tabs>
          <w:tab w:val="num" w:pos="3273"/>
        </w:tabs>
        <w:ind w:left="3273" w:hanging="360"/>
      </w:pPr>
    </w:lvl>
    <w:lvl w:ilvl="4" w:tplc="04090019" w:tentative="1">
      <w:start w:val="1"/>
      <w:numFmt w:val="lowerLetter"/>
      <w:lvlText w:val="%5."/>
      <w:lvlJc w:val="left"/>
      <w:pPr>
        <w:tabs>
          <w:tab w:val="num" w:pos="3993"/>
        </w:tabs>
        <w:ind w:left="3993" w:hanging="360"/>
      </w:pPr>
    </w:lvl>
    <w:lvl w:ilvl="5" w:tplc="0409001B" w:tentative="1">
      <w:start w:val="1"/>
      <w:numFmt w:val="lowerRoman"/>
      <w:lvlText w:val="%6."/>
      <w:lvlJc w:val="right"/>
      <w:pPr>
        <w:tabs>
          <w:tab w:val="num" w:pos="4713"/>
        </w:tabs>
        <w:ind w:left="4713" w:hanging="180"/>
      </w:pPr>
    </w:lvl>
    <w:lvl w:ilvl="6" w:tplc="0409000F" w:tentative="1">
      <w:start w:val="1"/>
      <w:numFmt w:val="decimal"/>
      <w:lvlText w:val="%7."/>
      <w:lvlJc w:val="left"/>
      <w:pPr>
        <w:tabs>
          <w:tab w:val="num" w:pos="5433"/>
        </w:tabs>
        <w:ind w:left="5433" w:hanging="360"/>
      </w:pPr>
    </w:lvl>
    <w:lvl w:ilvl="7" w:tplc="04090019" w:tentative="1">
      <w:start w:val="1"/>
      <w:numFmt w:val="lowerLetter"/>
      <w:lvlText w:val="%8."/>
      <w:lvlJc w:val="left"/>
      <w:pPr>
        <w:tabs>
          <w:tab w:val="num" w:pos="6153"/>
        </w:tabs>
        <w:ind w:left="6153" w:hanging="360"/>
      </w:pPr>
    </w:lvl>
    <w:lvl w:ilvl="8" w:tplc="0409001B" w:tentative="1">
      <w:start w:val="1"/>
      <w:numFmt w:val="lowerRoman"/>
      <w:lvlText w:val="%9."/>
      <w:lvlJc w:val="right"/>
      <w:pPr>
        <w:tabs>
          <w:tab w:val="num" w:pos="6873"/>
        </w:tabs>
        <w:ind w:left="6873" w:hanging="180"/>
      </w:pPr>
    </w:lvl>
  </w:abstractNum>
  <w:abstractNum w:abstractNumId="21" w15:restartNumberingAfterBreak="0">
    <w:nsid w:val="77AD02F4"/>
    <w:multiLevelType w:val="hybridMultilevel"/>
    <w:tmpl w:val="E56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6"/>
  </w:num>
  <w:num w:numId="3">
    <w:abstractNumId w:val="1"/>
  </w:num>
  <w:num w:numId="4">
    <w:abstractNumId w:val="22"/>
  </w:num>
  <w:num w:numId="5">
    <w:abstractNumId w:val="11"/>
  </w:num>
  <w:num w:numId="6">
    <w:abstractNumId w:val="0"/>
  </w:num>
  <w:num w:numId="7">
    <w:abstractNumId w:val="13"/>
  </w:num>
  <w:num w:numId="8">
    <w:abstractNumId w:val="12"/>
  </w:num>
  <w:num w:numId="9">
    <w:abstractNumId w:val="19"/>
  </w:num>
  <w:num w:numId="10">
    <w:abstractNumId w:val="10"/>
  </w:num>
  <w:num w:numId="11">
    <w:abstractNumId w:val="7"/>
  </w:num>
  <w:num w:numId="12">
    <w:abstractNumId w:val="4"/>
  </w:num>
  <w:num w:numId="13">
    <w:abstractNumId w:val="17"/>
  </w:num>
  <w:num w:numId="14">
    <w:abstractNumId w:val="9"/>
  </w:num>
  <w:num w:numId="15">
    <w:abstractNumId w:val="15"/>
  </w:num>
  <w:num w:numId="16">
    <w:abstractNumId w:val="14"/>
  </w:num>
  <w:num w:numId="17">
    <w:abstractNumId w:val="2"/>
  </w:num>
  <w:num w:numId="18">
    <w:abstractNumId w:val="20"/>
  </w:num>
  <w:num w:numId="19">
    <w:abstractNumId w:val="16"/>
  </w:num>
  <w:num w:numId="20">
    <w:abstractNumId w:val="8"/>
  </w:num>
  <w:num w:numId="21">
    <w:abstractNumId w:val="21"/>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3009">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NK0FAGDLVTktAAAA"/>
  </w:docVars>
  <w:rsids>
    <w:rsidRoot w:val="00990CB1"/>
    <w:rsid w:val="00002CD0"/>
    <w:rsid w:val="0001024A"/>
    <w:rsid w:val="00016F40"/>
    <w:rsid w:val="0003483B"/>
    <w:rsid w:val="00035CC5"/>
    <w:rsid w:val="00037048"/>
    <w:rsid w:val="000413D5"/>
    <w:rsid w:val="00042919"/>
    <w:rsid w:val="0004409F"/>
    <w:rsid w:val="00045D81"/>
    <w:rsid w:val="000B6263"/>
    <w:rsid w:val="000D531D"/>
    <w:rsid w:val="000F0758"/>
    <w:rsid w:val="000F63C5"/>
    <w:rsid w:val="000F7E41"/>
    <w:rsid w:val="00110A2F"/>
    <w:rsid w:val="00135C72"/>
    <w:rsid w:val="001437BF"/>
    <w:rsid w:val="00160F24"/>
    <w:rsid w:val="00162198"/>
    <w:rsid w:val="001D0459"/>
    <w:rsid w:val="00217507"/>
    <w:rsid w:val="00234C33"/>
    <w:rsid w:val="00234D0F"/>
    <w:rsid w:val="002675D2"/>
    <w:rsid w:val="002A789C"/>
    <w:rsid w:val="002B5378"/>
    <w:rsid w:val="002C0C8D"/>
    <w:rsid w:val="002E1922"/>
    <w:rsid w:val="002E44C0"/>
    <w:rsid w:val="002E558B"/>
    <w:rsid w:val="002F0797"/>
    <w:rsid w:val="00300B46"/>
    <w:rsid w:val="00304B05"/>
    <w:rsid w:val="003365FD"/>
    <w:rsid w:val="00336709"/>
    <w:rsid w:val="003615B6"/>
    <w:rsid w:val="0036167E"/>
    <w:rsid w:val="00362890"/>
    <w:rsid w:val="00362DD8"/>
    <w:rsid w:val="00370AFA"/>
    <w:rsid w:val="0038046D"/>
    <w:rsid w:val="00386983"/>
    <w:rsid w:val="003A13C7"/>
    <w:rsid w:val="003A4D29"/>
    <w:rsid w:val="003A7845"/>
    <w:rsid w:val="003C5F51"/>
    <w:rsid w:val="00424A0A"/>
    <w:rsid w:val="00431A90"/>
    <w:rsid w:val="00445F89"/>
    <w:rsid w:val="00460436"/>
    <w:rsid w:val="00476254"/>
    <w:rsid w:val="004B2569"/>
    <w:rsid w:val="004B3D3F"/>
    <w:rsid w:val="004B420D"/>
    <w:rsid w:val="004D6D08"/>
    <w:rsid w:val="0052531C"/>
    <w:rsid w:val="00567EAD"/>
    <w:rsid w:val="00572966"/>
    <w:rsid w:val="00592BFE"/>
    <w:rsid w:val="00594266"/>
    <w:rsid w:val="005A06DC"/>
    <w:rsid w:val="005C28F2"/>
    <w:rsid w:val="005D1E2A"/>
    <w:rsid w:val="005E1818"/>
    <w:rsid w:val="005E3D2C"/>
    <w:rsid w:val="005E5911"/>
    <w:rsid w:val="005F3E74"/>
    <w:rsid w:val="006259F7"/>
    <w:rsid w:val="00631B7B"/>
    <w:rsid w:val="0064578C"/>
    <w:rsid w:val="00651905"/>
    <w:rsid w:val="00683FF2"/>
    <w:rsid w:val="00684792"/>
    <w:rsid w:val="0069363D"/>
    <w:rsid w:val="006B7B0E"/>
    <w:rsid w:val="006D6D77"/>
    <w:rsid w:val="006F4CAC"/>
    <w:rsid w:val="00711789"/>
    <w:rsid w:val="00723C6F"/>
    <w:rsid w:val="007278E3"/>
    <w:rsid w:val="0077394C"/>
    <w:rsid w:val="00794803"/>
    <w:rsid w:val="007A1CC9"/>
    <w:rsid w:val="007A44BB"/>
    <w:rsid w:val="007B00D1"/>
    <w:rsid w:val="008016F4"/>
    <w:rsid w:val="00802B27"/>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7B5E"/>
    <w:rsid w:val="00970C7B"/>
    <w:rsid w:val="00974A67"/>
    <w:rsid w:val="00987378"/>
    <w:rsid w:val="00987564"/>
    <w:rsid w:val="00990CB1"/>
    <w:rsid w:val="0099374D"/>
    <w:rsid w:val="0099526A"/>
    <w:rsid w:val="00997FAA"/>
    <w:rsid w:val="009A329C"/>
    <w:rsid w:val="009B0BD9"/>
    <w:rsid w:val="009D3427"/>
    <w:rsid w:val="009E28C7"/>
    <w:rsid w:val="009F1A6D"/>
    <w:rsid w:val="00A1093C"/>
    <w:rsid w:val="00A16D64"/>
    <w:rsid w:val="00A268C0"/>
    <w:rsid w:val="00A42210"/>
    <w:rsid w:val="00A66A22"/>
    <w:rsid w:val="00A67D1A"/>
    <w:rsid w:val="00A81922"/>
    <w:rsid w:val="00A846F6"/>
    <w:rsid w:val="00A909F3"/>
    <w:rsid w:val="00A94BD3"/>
    <w:rsid w:val="00AA0766"/>
    <w:rsid w:val="00AC5CA2"/>
    <w:rsid w:val="00AE312F"/>
    <w:rsid w:val="00AF5C51"/>
    <w:rsid w:val="00B0479B"/>
    <w:rsid w:val="00B05D64"/>
    <w:rsid w:val="00B42608"/>
    <w:rsid w:val="00B4673C"/>
    <w:rsid w:val="00B70353"/>
    <w:rsid w:val="00BA1AF8"/>
    <w:rsid w:val="00BC1009"/>
    <w:rsid w:val="00BD723F"/>
    <w:rsid w:val="00BE5D0C"/>
    <w:rsid w:val="00BF30C0"/>
    <w:rsid w:val="00BF650A"/>
    <w:rsid w:val="00C104F1"/>
    <w:rsid w:val="00C200DB"/>
    <w:rsid w:val="00C276D0"/>
    <w:rsid w:val="00C3648E"/>
    <w:rsid w:val="00C90CA2"/>
    <w:rsid w:val="00C9286C"/>
    <w:rsid w:val="00CC4314"/>
    <w:rsid w:val="00D2126D"/>
    <w:rsid w:val="00D21FC4"/>
    <w:rsid w:val="00D3204C"/>
    <w:rsid w:val="00D32DEB"/>
    <w:rsid w:val="00D52945"/>
    <w:rsid w:val="00D62EB6"/>
    <w:rsid w:val="00D71E35"/>
    <w:rsid w:val="00D90348"/>
    <w:rsid w:val="00D968D1"/>
    <w:rsid w:val="00DB7565"/>
    <w:rsid w:val="00E103AB"/>
    <w:rsid w:val="00E22000"/>
    <w:rsid w:val="00E35928"/>
    <w:rsid w:val="00E37C2E"/>
    <w:rsid w:val="00E412A7"/>
    <w:rsid w:val="00E47779"/>
    <w:rsid w:val="00E658B5"/>
    <w:rsid w:val="00E96E55"/>
    <w:rsid w:val="00EA7BCC"/>
    <w:rsid w:val="00EB2276"/>
    <w:rsid w:val="00EC159E"/>
    <w:rsid w:val="00F12953"/>
    <w:rsid w:val="00F26DC5"/>
    <w:rsid w:val="00F54F37"/>
    <w:rsid w:val="00F728DA"/>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af1685"/>
    </o:shapedefaults>
    <o:shapelayout v:ext="edit">
      <o:idmap v:ext="edit" data="1"/>
    </o:shapelayout>
  </w:shapeDefaults>
  <w:decimalSymbol w:val="."/>
  <w:listSeparator w:val=","/>
  <w14:docId w14:val="5591B5F7"/>
  <w15:docId w15:val="{C487A06B-466C-4AAF-AF0D-57343B5C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BF650A"/>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BF650A"/>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customStyle="1" w:styleId="FootnoteText1">
    <w:name w:val="Footnote Text1"/>
    <w:basedOn w:val="Normal"/>
    <w:next w:val="FootnoteText"/>
    <w:link w:val="FootnoteTextChar"/>
    <w:uiPriority w:val="99"/>
    <w:semiHidden/>
    <w:unhideWhenUsed/>
    <w:rsid w:val="002C0C8D"/>
    <w:pPr>
      <w:spacing w:after="0" w:line="240" w:lineRule="auto"/>
    </w:pPr>
    <w:rPr>
      <w:rFonts w:ascii="Cambria" w:hAnsi="Cambria"/>
      <w:kern w:val="0"/>
      <w:sz w:val="20"/>
      <w:szCs w:val="20"/>
      <w:lang w:val="en-AU" w:eastAsia="en-AU"/>
    </w:rPr>
  </w:style>
  <w:style w:type="character" w:customStyle="1" w:styleId="FootnoteTextChar">
    <w:name w:val="Footnote Text Char"/>
    <w:basedOn w:val="DefaultParagraphFont"/>
    <w:link w:val="FootnoteText1"/>
    <w:uiPriority w:val="99"/>
    <w:semiHidden/>
    <w:rsid w:val="002C0C8D"/>
    <w:rPr>
      <w:sz w:val="20"/>
      <w:szCs w:val="20"/>
    </w:rPr>
  </w:style>
  <w:style w:type="character" w:styleId="FootnoteReference">
    <w:name w:val="footnote reference"/>
    <w:basedOn w:val="DefaultParagraphFont"/>
    <w:uiPriority w:val="99"/>
    <w:semiHidden/>
    <w:unhideWhenUsed/>
    <w:rsid w:val="002C0C8D"/>
    <w:rPr>
      <w:vertAlign w:val="superscript"/>
    </w:rPr>
  </w:style>
  <w:style w:type="paragraph" w:styleId="FootnoteText">
    <w:name w:val="footnote text"/>
    <w:basedOn w:val="Normal"/>
    <w:link w:val="FootnoteTextChar1"/>
    <w:uiPriority w:val="99"/>
    <w:semiHidden/>
    <w:unhideWhenUsed/>
    <w:rsid w:val="002C0C8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C0C8D"/>
    <w:rPr>
      <w:rFonts w:ascii="Arial" w:hAnsi="Arial"/>
      <w:kern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63">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834443249">
      <w:bodyDiv w:val="1"/>
      <w:marLeft w:val="0"/>
      <w:marRight w:val="0"/>
      <w:marTop w:val="0"/>
      <w:marBottom w:val="0"/>
      <w:divBdr>
        <w:top w:val="none" w:sz="0" w:space="0" w:color="auto"/>
        <w:left w:val="none" w:sz="0" w:space="0" w:color="auto"/>
        <w:bottom w:val="none" w:sz="0" w:space="0" w:color="auto"/>
        <w:right w:val="none" w:sz="0" w:space="0" w:color="auto"/>
      </w:divBdr>
    </w:div>
    <w:div w:id="1963532643">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k.McGee@afdo.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1842-039B-451B-B4FC-ED382995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2</cp:revision>
  <dcterms:created xsi:type="dcterms:W3CDTF">2018-12-01T22:46:00Z</dcterms:created>
  <dcterms:modified xsi:type="dcterms:W3CDTF">2018-12-01T22:46:00Z</dcterms:modified>
</cp:coreProperties>
</file>