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963D3" w14:textId="2B9E5A01" w:rsidR="00C57001" w:rsidRPr="00FC143A" w:rsidRDefault="00C1548D" w:rsidP="00F30908">
      <w:pPr>
        <w:pStyle w:val="Title"/>
        <w:ind w:left="-709"/>
        <w:rPr>
          <w:i/>
          <w:iCs/>
          <w:smallCaps/>
          <w:spacing w:val="0"/>
        </w:rPr>
      </w:pPr>
      <w:bookmarkStart w:id="0" w:name="_GoBack"/>
      <w:bookmarkEnd w:id="0"/>
      <w:r>
        <w:rPr>
          <w:spacing w:val="0"/>
        </w:rPr>
        <w:t>Impairment Tables Review</w:t>
      </w:r>
      <w:r w:rsidR="00E7668B">
        <w:rPr>
          <w:spacing w:val="0"/>
        </w:rPr>
        <w:t xml:space="preserve"> Issues Paper</w:t>
      </w:r>
    </w:p>
    <w:p w14:paraId="1AF7447C" w14:textId="700FAB7C" w:rsidR="0094563F" w:rsidRDefault="0094563F" w:rsidP="0054713E">
      <w:pPr>
        <w:pStyle w:val="Smalltext"/>
        <w:ind w:left="-709"/>
      </w:pPr>
      <w:r>
        <w:t xml:space="preserve">DSS </w:t>
      </w:r>
      <w:r w:rsidR="00715A4B">
        <w:t>2511</w:t>
      </w:r>
    </w:p>
    <w:p w14:paraId="1B0B10AE" w14:textId="77777777" w:rsidR="0094563F" w:rsidRDefault="0094563F" w:rsidP="004F77F4">
      <w:pPr>
        <w:spacing w:before="800"/>
        <w:ind w:left="-709"/>
        <w:rPr>
          <w:i/>
          <w:iCs/>
          <w:smallCaps/>
        </w:rPr>
        <w:sectPr w:rsidR="0094563F" w:rsidSect="00A7476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283" w:footer="0" w:gutter="0"/>
          <w:cols w:space="708"/>
          <w:titlePg/>
          <w:docGrid w:linePitch="360"/>
        </w:sectPr>
      </w:pPr>
    </w:p>
    <w:sdt>
      <w:sdtPr>
        <w:rPr>
          <w:rFonts w:ascii="Arial" w:eastAsia="Times New Roman" w:hAnsi="Arial" w:cs="Times New Roman"/>
          <w:bCs w:val="0"/>
          <w:color w:val="auto"/>
          <w:sz w:val="24"/>
          <w:szCs w:val="24"/>
          <w:lang w:bidi="ar-SA"/>
        </w:rPr>
        <w:id w:val="-1798138903"/>
        <w:docPartObj>
          <w:docPartGallery w:val="Table of Contents"/>
          <w:docPartUnique/>
        </w:docPartObj>
      </w:sdtPr>
      <w:sdtEndPr>
        <w:rPr>
          <w:b/>
          <w:noProof/>
        </w:rPr>
      </w:sdtEndPr>
      <w:sdtContent>
        <w:p w14:paraId="10F64DD0" w14:textId="16C5D2EE" w:rsidR="005A37AB" w:rsidRDefault="005A37AB" w:rsidP="00751E76">
          <w:pPr>
            <w:pStyle w:val="TOCHeading"/>
            <w:spacing w:before="0" w:after="0"/>
          </w:pPr>
          <w:r>
            <w:t>Table of Contents</w:t>
          </w:r>
        </w:p>
        <w:p w14:paraId="3E39A4A4" w14:textId="77777777" w:rsidR="005A37AB" w:rsidRPr="005A37AB" w:rsidRDefault="005A37AB" w:rsidP="00751E76">
          <w:pPr>
            <w:spacing w:before="0" w:after="0"/>
            <w:rPr>
              <w:lang w:bidi="en-US"/>
            </w:rPr>
          </w:pPr>
        </w:p>
        <w:p w14:paraId="7CE84065" w14:textId="26995584" w:rsidR="00E9142D" w:rsidRDefault="005A37AB">
          <w:pPr>
            <w:pStyle w:val="TOC1"/>
            <w:rPr>
              <w:rFonts w:asciiTheme="minorHAnsi" w:eastAsiaTheme="minorEastAsia" w:hAnsiTheme="minorHAnsi" w:cstheme="minorBidi"/>
              <w:noProof/>
              <w:spacing w:val="0"/>
              <w:sz w:val="22"/>
              <w:szCs w:val="22"/>
            </w:rPr>
          </w:pPr>
          <w:r>
            <w:fldChar w:fldCharType="begin"/>
          </w:r>
          <w:r>
            <w:instrText xml:space="preserve"> TOC \o "1-3" \h \z \u </w:instrText>
          </w:r>
          <w:r>
            <w:fldChar w:fldCharType="separate"/>
          </w:r>
          <w:hyperlink w:anchor="_Toc73104272" w:history="1">
            <w:r w:rsidR="00E9142D" w:rsidRPr="006963BA">
              <w:rPr>
                <w:rStyle w:val="Hyperlink"/>
                <w:rFonts w:eastAsiaTheme="majorEastAsia"/>
                <w:noProof/>
              </w:rPr>
              <w:t>Foreword</w:t>
            </w:r>
            <w:r w:rsidR="00E9142D">
              <w:rPr>
                <w:noProof/>
                <w:webHidden/>
              </w:rPr>
              <w:tab/>
            </w:r>
            <w:r w:rsidR="00E9142D">
              <w:rPr>
                <w:noProof/>
                <w:webHidden/>
              </w:rPr>
              <w:fldChar w:fldCharType="begin"/>
            </w:r>
            <w:r w:rsidR="00E9142D">
              <w:rPr>
                <w:noProof/>
                <w:webHidden/>
              </w:rPr>
              <w:instrText xml:space="preserve"> PAGEREF _Toc73104272 \h </w:instrText>
            </w:r>
            <w:r w:rsidR="00E9142D">
              <w:rPr>
                <w:noProof/>
                <w:webHidden/>
              </w:rPr>
            </w:r>
            <w:r w:rsidR="00E9142D">
              <w:rPr>
                <w:noProof/>
                <w:webHidden/>
              </w:rPr>
              <w:fldChar w:fldCharType="separate"/>
            </w:r>
            <w:r w:rsidR="00BF5D27">
              <w:rPr>
                <w:noProof/>
                <w:webHidden/>
              </w:rPr>
              <w:t>3</w:t>
            </w:r>
            <w:r w:rsidR="00E9142D">
              <w:rPr>
                <w:noProof/>
                <w:webHidden/>
              </w:rPr>
              <w:fldChar w:fldCharType="end"/>
            </w:r>
          </w:hyperlink>
        </w:p>
        <w:p w14:paraId="74FB70D4" w14:textId="130F1C54" w:rsidR="00E9142D" w:rsidRDefault="00555EE7">
          <w:pPr>
            <w:pStyle w:val="TOC1"/>
            <w:rPr>
              <w:rFonts w:asciiTheme="minorHAnsi" w:eastAsiaTheme="minorEastAsia" w:hAnsiTheme="minorHAnsi" w:cstheme="minorBidi"/>
              <w:noProof/>
              <w:spacing w:val="0"/>
              <w:sz w:val="22"/>
              <w:szCs w:val="22"/>
            </w:rPr>
          </w:pPr>
          <w:hyperlink w:anchor="_Toc73104273" w:history="1">
            <w:r w:rsidR="00E9142D" w:rsidRPr="006963BA">
              <w:rPr>
                <w:rStyle w:val="Hyperlink"/>
                <w:rFonts w:eastAsiaTheme="majorEastAsia"/>
                <w:noProof/>
              </w:rPr>
              <w:t>Background</w:t>
            </w:r>
            <w:r w:rsidR="00E9142D">
              <w:rPr>
                <w:noProof/>
                <w:webHidden/>
              </w:rPr>
              <w:tab/>
            </w:r>
            <w:r w:rsidR="00E9142D">
              <w:rPr>
                <w:noProof/>
                <w:webHidden/>
              </w:rPr>
              <w:fldChar w:fldCharType="begin"/>
            </w:r>
            <w:r w:rsidR="00E9142D">
              <w:rPr>
                <w:noProof/>
                <w:webHidden/>
              </w:rPr>
              <w:instrText xml:space="preserve"> PAGEREF _Toc73104273 \h </w:instrText>
            </w:r>
            <w:r w:rsidR="00E9142D">
              <w:rPr>
                <w:noProof/>
                <w:webHidden/>
              </w:rPr>
            </w:r>
            <w:r w:rsidR="00E9142D">
              <w:rPr>
                <w:noProof/>
                <w:webHidden/>
              </w:rPr>
              <w:fldChar w:fldCharType="separate"/>
            </w:r>
            <w:r w:rsidR="00BF5D27">
              <w:rPr>
                <w:noProof/>
                <w:webHidden/>
              </w:rPr>
              <w:t>4</w:t>
            </w:r>
            <w:r w:rsidR="00E9142D">
              <w:rPr>
                <w:noProof/>
                <w:webHidden/>
              </w:rPr>
              <w:fldChar w:fldCharType="end"/>
            </w:r>
          </w:hyperlink>
        </w:p>
        <w:p w14:paraId="6D2464E2" w14:textId="35659298" w:rsidR="00E9142D" w:rsidRDefault="00555EE7">
          <w:pPr>
            <w:pStyle w:val="TOC2"/>
            <w:rPr>
              <w:rFonts w:asciiTheme="minorHAnsi" w:eastAsiaTheme="minorEastAsia" w:hAnsiTheme="minorHAnsi" w:cstheme="minorBidi"/>
              <w:noProof/>
              <w:spacing w:val="0"/>
              <w:sz w:val="22"/>
              <w:szCs w:val="22"/>
            </w:rPr>
          </w:pPr>
          <w:hyperlink w:anchor="_Toc73104274" w:history="1">
            <w:r w:rsidR="00E9142D" w:rsidRPr="006963BA">
              <w:rPr>
                <w:rStyle w:val="Hyperlink"/>
                <w:rFonts w:eastAsiaTheme="majorEastAsia"/>
                <w:noProof/>
              </w:rPr>
              <w:t>Introduction to Disability Support Pension</w:t>
            </w:r>
            <w:r w:rsidR="00E9142D">
              <w:rPr>
                <w:noProof/>
                <w:webHidden/>
              </w:rPr>
              <w:tab/>
            </w:r>
            <w:r w:rsidR="00E9142D">
              <w:rPr>
                <w:noProof/>
                <w:webHidden/>
              </w:rPr>
              <w:fldChar w:fldCharType="begin"/>
            </w:r>
            <w:r w:rsidR="00E9142D">
              <w:rPr>
                <w:noProof/>
                <w:webHidden/>
              </w:rPr>
              <w:instrText xml:space="preserve"> PAGEREF _Toc73104274 \h </w:instrText>
            </w:r>
            <w:r w:rsidR="00E9142D">
              <w:rPr>
                <w:noProof/>
                <w:webHidden/>
              </w:rPr>
            </w:r>
            <w:r w:rsidR="00E9142D">
              <w:rPr>
                <w:noProof/>
                <w:webHidden/>
              </w:rPr>
              <w:fldChar w:fldCharType="separate"/>
            </w:r>
            <w:r w:rsidR="00BF5D27">
              <w:rPr>
                <w:noProof/>
                <w:webHidden/>
              </w:rPr>
              <w:t>4</w:t>
            </w:r>
            <w:r w:rsidR="00E9142D">
              <w:rPr>
                <w:noProof/>
                <w:webHidden/>
              </w:rPr>
              <w:fldChar w:fldCharType="end"/>
            </w:r>
          </w:hyperlink>
        </w:p>
        <w:p w14:paraId="283F1349" w14:textId="185C1107" w:rsidR="00E9142D" w:rsidRDefault="00555EE7">
          <w:pPr>
            <w:pStyle w:val="TOC2"/>
            <w:rPr>
              <w:rFonts w:asciiTheme="minorHAnsi" w:eastAsiaTheme="minorEastAsia" w:hAnsiTheme="minorHAnsi" w:cstheme="minorBidi"/>
              <w:noProof/>
              <w:spacing w:val="0"/>
              <w:sz w:val="22"/>
              <w:szCs w:val="22"/>
            </w:rPr>
          </w:pPr>
          <w:hyperlink w:anchor="_Toc73104275" w:history="1">
            <w:r w:rsidR="00E9142D" w:rsidRPr="006963BA">
              <w:rPr>
                <w:rStyle w:val="Hyperlink"/>
                <w:rFonts w:eastAsiaTheme="majorEastAsia"/>
                <w:noProof/>
              </w:rPr>
              <w:t>Legislative Instrument</w:t>
            </w:r>
            <w:r w:rsidR="00E9142D">
              <w:rPr>
                <w:noProof/>
                <w:webHidden/>
              </w:rPr>
              <w:tab/>
            </w:r>
            <w:r w:rsidR="00E9142D">
              <w:rPr>
                <w:noProof/>
                <w:webHidden/>
              </w:rPr>
              <w:fldChar w:fldCharType="begin"/>
            </w:r>
            <w:r w:rsidR="00E9142D">
              <w:rPr>
                <w:noProof/>
                <w:webHidden/>
              </w:rPr>
              <w:instrText xml:space="preserve"> PAGEREF _Toc73104275 \h </w:instrText>
            </w:r>
            <w:r w:rsidR="00E9142D">
              <w:rPr>
                <w:noProof/>
                <w:webHidden/>
              </w:rPr>
            </w:r>
            <w:r w:rsidR="00E9142D">
              <w:rPr>
                <w:noProof/>
                <w:webHidden/>
              </w:rPr>
              <w:fldChar w:fldCharType="separate"/>
            </w:r>
            <w:r w:rsidR="00BF5D27">
              <w:rPr>
                <w:noProof/>
                <w:webHidden/>
              </w:rPr>
              <w:t>4</w:t>
            </w:r>
            <w:r w:rsidR="00E9142D">
              <w:rPr>
                <w:noProof/>
                <w:webHidden/>
              </w:rPr>
              <w:fldChar w:fldCharType="end"/>
            </w:r>
          </w:hyperlink>
        </w:p>
        <w:p w14:paraId="16D3A1A0" w14:textId="45A41979" w:rsidR="00E9142D" w:rsidRDefault="00555EE7">
          <w:pPr>
            <w:pStyle w:val="TOC2"/>
            <w:rPr>
              <w:rFonts w:asciiTheme="minorHAnsi" w:eastAsiaTheme="minorEastAsia" w:hAnsiTheme="minorHAnsi" w:cstheme="minorBidi"/>
              <w:noProof/>
              <w:spacing w:val="0"/>
              <w:sz w:val="22"/>
              <w:szCs w:val="22"/>
            </w:rPr>
          </w:pPr>
          <w:hyperlink w:anchor="_Toc73104276" w:history="1">
            <w:r w:rsidR="00E9142D" w:rsidRPr="006963BA">
              <w:rPr>
                <w:rStyle w:val="Hyperlink"/>
                <w:rFonts w:eastAsiaTheme="majorEastAsia"/>
                <w:noProof/>
              </w:rPr>
              <w:t>Scale of the Review of the Impairment Tables</w:t>
            </w:r>
            <w:r w:rsidR="00E9142D">
              <w:rPr>
                <w:noProof/>
                <w:webHidden/>
              </w:rPr>
              <w:tab/>
            </w:r>
            <w:r w:rsidR="00E9142D">
              <w:rPr>
                <w:noProof/>
                <w:webHidden/>
              </w:rPr>
              <w:fldChar w:fldCharType="begin"/>
            </w:r>
            <w:r w:rsidR="00E9142D">
              <w:rPr>
                <w:noProof/>
                <w:webHidden/>
              </w:rPr>
              <w:instrText xml:space="preserve"> PAGEREF _Toc73104276 \h </w:instrText>
            </w:r>
            <w:r w:rsidR="00E9142D">
              <w:rPr>
                <w:noProof/>
                <w:webHidden/>
              </w:rPr>
            </w:r>
            <w:r w:rsidR="00E9142D">
              <w:rPr>
                <w:noProof/>
                <w:webHidden/>
              </w:rPr>
              <w:fldChar w:fldCharType="separate"/>
            </w:r>
            <w:r w:rsidR="00BF5D27">
              <w:rPr>
                <w:noProof/>
                <w:webHidden/>
              </w:rPr>
              <w:t>4</w:t>
            </w:r>
            <w:r w:rsidR="00E9142D">
              <w:rPr>
                <w:noProof/>
                <w:webHidden/>
              </w:rPr>
              <w:fldChar w:fldCharType="end"/>
            </w:r>
          </w:hyperlink>
        </w:p>
        <w:p w14:paraId="4FEC4340" w14:textId="0B90818D" w:rsidR="00E9142D" w:rsidRDefault="00555EE7">
          <w:pPr>
            <w:pStyle w:val="TOC2"/>
            <w:rPr>
              <w:rFonts w:asciiTheme="minorHAnsi" w:eastAsiaTheme="minorEastAsia" w:hAnsiTheme="minorHAnsi" w:cstheme="minorBidi"/>
              <w:noProof/>
              <w:spacing w:val="0"/>
              <w:sz w:val="22"/>
              <w:szCs w:val="22"/>
            </w:rPr>
          </w:pPr>
          <w:hyperlink w:anchor="_Toc73104277" w:history="1">
            <w:r w:rsidR="00E9142D" w:rsidRPr="006963BA">
              <w:rPr>
                <w:rStyle w:val="Hyperlink"/>
                <w:rFonts w:eastAsiaTheme="majorEastAsia"/>
                <w:noProof/>
              </w:rPr>
              <w:t>Consultation Process</w:t>
            </w:r>
            <w:r w:rsidR="00E9142D">
              <w:rPr>
                <w:noProof/>
                <w:webHidden/>
              </w:rPr>
              <w:tab/>
            </w:r>
            <w:r w:rsidR="00E9142D">
              <w:rPr>
                <w:noProof/>
                <w:webHidden/>
              </w:rPr>
              <w:fldChar w:fldCharType="begin"/>
            </w:r>
            <w:r w:rsidR="00E9142D">
              <w:rPr>
                <w:noProof/>
                <w:webHidden/>
              </w:rPr>
              <w:instrText xml:space="preserve"> PAGEREF _Toc73104277 \h </w:instrText>
            </w:r>
            <w:r w:rsidR="00E9142D">
              <w:rPr>
                <w:noProof/>
                <w:webHidden/>
              </w:rPr>
            </w:r>
            <w:r w:rsidR="00E9142D">
              <w:rPr>
                <w:noProof/>
                <w:webHidden/>
              </w:rPr>
              <w:fldChar w:fldCharType="separate"/>
            </w:r>
            <w:r w:rsidR="00BF5D27">
              <w:rPr>
                <w:noProof/>
                <w:webHidden/>
              </w:rPr>
              <w:t>5</w:t>
            </w:r>
            <w:r w:rsidR="00E9142D">
              <w:rPr>
                <w:noProof/>
                <w:webHidden/>
              </w:rPr>
              <w:fldChar w:fldCharType="end"/>
            </w:r>
          </w:hyperlink>
        </w:p>
        <w:p w14:paraId="35DCDD12" w14:textId="7DB31C2C" w:rsidR="00E9142D" w:rsidRDefault="00555EE7">
          <w:pPr>
            <w:pStyle w:val="TOC2"/>
            <w:rPr>
              <w:rFonts w:asciiTheme="minorHAnsi" w:eastAsiaTheme="minorEastAsia" w:hAnsiTheme="minorHAnsi" w:cstheme="minorBidi"/>
              <w:noProof/>
              <w:spacing w:val="0"/>
              <w:sz w:val="22"/>
              <w:szCs w:val="22"/>
            </w:rPr>
          </w:pPr>
          <w:hyperlink w:anchor="_Toc73104278" w:history="1">
            <w:r w:rsidR="00E9142D" w:rsidRPr="006963BA">
              <w:rPr>
                <w:rStyle w:val="Hyperlink"/>
                <w:rFonts w:eastAsiaTheme="majorEastAsia"/>
                <w:noProof/>
              </w:rPr>
              <w:t>DSP Trends</w:t>
            </w:r>
            <w:r w:rsidR="00E9142D">
              <w:rPr>
                <w:noProof/>
                <w:webHidden/>
              </w:rPr>
              <w:tab/>
            </w:r>
            <w:r w:rsidR="00E9142D">
              <w:rPr>
                <w:noProof/>
                <w:webHidden/>
              </w:rPr>
              <w:fldChar w:fldCharType="begin"/>
            </w:r>
            <w:r w:rsidR="00E9142D">
              <w:rPr>
                <w:noProof/>
                <w:webHidden/>
              </w:rPr>
              <w:instrText xml:space="preserve"> PAGEREF _Toc73104278 \h </w:instrText>
            </w:r>
            <w:r w:rsidR="00E9142D">
              <w:rPr>
                <w:noProof/>
                <w:webHidden/>
              </w:rPr>
            </w:r>
            <w:r w:rsidR="00E9142D">
              <w:rPr>
                <w:noProof/>
                <w:webHidden/>
              </w:rPr>
              <w:fldChar w:fldCharType="separate"/>
            </w:r>
            <w:r w:rsidR="00BF5D27">
              <w:rPr>
                <w:noProof/>
                <w:webHidden/>
              </w:rPr>
              <w:t>6</w:t>
            </w:r>
            <w:r w:rsidR="00E9142D">
              <w:rPr>
                <w:noProof/>
                <w:webHidden/>
              </w:rPr>
              <w:fldChar w:fldCharType="end"/>
            </w:r>
          </w:hyperlink>
        </w:p>
        <w:p w14:paraId="7519C7D0" w14:textId="29462BAD" w:rsidR="00E9142D" w:rsidRDefault="00555EE7">
          <w:pPr>
            <w:pStyle w:val="TOC2"/>
            <w:rPr>
              <w:rFonts w:asciiTheme="minorHAnsi" w:eastAsiaTheme="minorEastAsia" w:hAnsiTheme="minorHAnsi" w:cstheme="minorBidi"/>
              <w:noProof/>
              <w:spacing w:val="0"/>
              <w:sz w:val="22"/>
              <w:szCs w:val="22"/>
            </w:rPr>
          </w:pPr>
          <w:hyperlink w:anchor="_Toc73104279" w:history="1">
            <w:r w:rsidR="00E9142D" w:rsidRPr="006963BA">
              <w:rPr>
                <w:rStyle w:val="Hyperlink"/>
                <w:rFonts w:eastAsiaTheme="majorEastAsia"/>
                <w:noProof/>
              </w:rPr>
              <w:t>Current Impairment Tables</w:t>
            </w:r>
            <w:r w:rsidR="00E9142D">
              <w:rPr>
                <w:noProof/>
                <w:webHidden/>
              </w:rPr>
              <w:tab/>
            </w:r>
            <w:r w:rsidR="00E9142D">
              <w:rPr>
                <w:noProof/>
                <w:webHidden/>
              </w:rPr>
              <w:fldChar w:fldCharType="begin"/>
            </w:r>
            <w:r w:rsidR="00E9142D">
              <w:rPr>
                <w:noProof/>
                <w:webHidden/>
              </w:rPr>
              <w:instrText xml:space="preserve"> PAGEREF _Toc73104279 \h </w:instrText>
            </w:r>
            <w:r w:rsidR="00E9142D">
              <w:rPr>
                <w:noProof/>
                <w:webHidden/>
              </w:rPr>
            </w:r>
            <w:r w:rsidR="00E9142D">
              <w:rPr>
                <w:noProof/>
                <w:webHidden/>
              </w:rPr>
              <w:fldChar w:fldCharType="separate"/>
            </w:r>
            <w:r w:rsidR="00BF5D27">
              <w:rPr>
                <w:noProof/>
                <w:webHidden/>
              </w:rPr>
              <w:t>7</w:t>
            </w:r>
            <w:r w:rsidR="00E9142D">
              <w:rPr>
                <w:noProof/>
                <w:webHidden/>
              </w:rPr>
              <w:fldChar w:fldCharType="end"/>
            </w:r>
          </w:hyperlink>
        </w:p>
        <w:p w14:paraId="79137351" w14:textId="7F1CC04B" w:rsidR="00E9142D" w:rsidRDefault="00555EE7">
          <w:pPr>
            <w:pStyle w:val="TOC2"/>
            <w:rPr>
              <w:rFonts w:asciiTheme="minorHAnsi" w:eastAsiaTheme="minorEastAsia" w:hAnsiTheme="minorHAnsi" w:cstheme="minorBidi"/>
              <w:noProof/>
              <w:spacing w:val="0"/>
              <w:sz w:val="22"/>
              <w:szCs w:val="22"/>
            </w:rPr>
          </w:pPr>
          <w:hyperlink w:anchor="_Toc73104280" w:history="1">
            <w:r w:rsidR="00E9142D" w:rsidRPr="006963BA">
              <w:rPr>
                <w:rStyle w:val="Hyperlink"/>
                <w:rFonts w:eastAsiaTheme="majorEastAsia"/>
                <w:noProof/>
              </w:rPr>
              <w:t>Changes Made to DSP since the Introduction of the Impairment Tables in 2012</w:t>
            </w:r>
            <w:r w:rsidR="00E9142D">
              <w:rPr>
                <w:noProof/>
                <w:webHidden/>
              </w:rPr>
              <w:tab/>
            </w:r>
            <w:r w:rsidR="00E9142D">
              <w:rPr>
                <w:noProof/>
                <w:webHidden/>
              </w:rPr>
              <w:fldChar w:fldCharType="begin"/>
            </w:r>
            <w:r w:rsidR="00E9142D">
              <w:rPr>
                <w:noProof/>
                <w:webHidden/>
              </w:rPr>
              <w:instrText xml:space="preserve"> PAGEREF _Toc73104280 \h </w:instrText>
            </w:r>
            <w:r w:rsidR="00E9142D">
              <w:rPr>
                <w:noProof/>
                <w:webHidden/>
              </w:rPr>
            </w:r>
            <w:r w:rsidR="00E9142D">
              <w:rPr>
                <w:noProof/>
                <w:webHidden/>
              </w:rPr>
              <w:fldChar w:fldCharType="separate"/>
            </w:r>
            <w:r w:rsidR="00BF5D27">
              <w:rPr>
                <w:noProof/>
                <w:webHidden/>
              </w:rPr>
              <w:t>11</w:t>
            </w:r>
            <w:r w:rsidR="00E9142D">
              <w:rPr>
                <w:noProof/>
                <w:webHidden/>
              </w:rPr>
              <w:fldChar w:fldCharType="end"/>
            </w:r>
          </w:hyperlink>
        </w:p>
        <w:p w14:paraId="7A3BD4E5" w14:textId="549D4751" w:rsidR="00E9142D" w:rsidRDefault="00555EE7">
          <w:pPr>
            <w:pStyle w:val="TOC1"/>
            <w:rPr>
              <w:rFonts w:asciiTheme="minorHAnsi" w:eastAsiaTheme="minorEastAsia" w:hAnsiTheme="minorHAnsi" w:cstheme="minorBidi"/>
              <w:noProof/>
              <w:spacing w:val="0"/>
              <w:sz w:val="22"/>
              <w:szCs w:val="22"/>
            </w:rPr>
          </w:pPr>
          <w:hyperlink w:anchor="_Toc73104281" w:history="1">
            <w:r w:rsidR="00E9142D" w:rsidRPr="006963BA">
              <w:rPr>
                <w:rStyle w:val="Hyperlink"/>
                <w:rFonts w:eastAsiaTheme="majorEastAsia"/>
                <w:noProof/>
              </w:rPr>
              <w:t>Existing Feedback</w:t>
            </w:r>
            <w:r w:rsidR="00E9142D">
              <w:rPr>
                <w:noProof/>
                <w:webHidden/>
              </w:rPr>
              <w:tab/>
            </w:r>
            <w:r w:rsidR="00E9142D">
              <w:rPr>
                <w:noProof/>
                <w:webHidden/>
              </w:rPr>
              <w:fldChar w:fldCharType="begin"/>
            </w:r>
            <w:r w:rsidR="00E9142D">
              <w:rPr>
                <w:noProof/>
                <w:webHidden/>
              </w:rPr>
              <w:instrText xml:space="preserve"> PAGEREF _Toc73104281 \h </w:instrText>
            </w:r>
            <w:r w:rsidR="00E9142D">
              <w:rPr>
                <w:noProof/>
                <w:webHidden/>
              </w:rPr>
            </w:r>
            <w:r w:rsidR="00E9142D">
              <w:rPr>
                <w:noProof/>
                <w:webHidden/>
              </w:rPr>
              <w:fldChar w:fldCharType="separate"/>
            </w:r>
            <w:r w:rsidR="00BF5D27">
              <w:rPr>
                <w:noProof/>
                <w:webHidden/>
              </w:rPr>
              <w:t>12</w:t>
            </w:r>
            <w:r w:rsidR="00E9142D">
              <w:rPr>
                <w:noProof/>
                <w:webHidden/>
              </w:rPr>
              <w:fldChar w:fldCharType="end"/>
            </w:r>
          </w:hyperlink>
        </w:p>
        <w:p w14:paraId="646359BD" w14:textId="310AAE92" w:rsidR="00E9142D" w:rsidRDefault="00555EE7">
          <w:pPr>
            <w:pStyle w:val="TOC1"/>
            <w:rPr>
              <w:rFonts w:asciiTheme="minorHAnsi" w:eastAsiaTheme="minorEastAsia" w:hAnsiTheme="minorHAnsi" w:cstheme="minorBidi"/>
              <w:noProof/>
              <w:spacing w:val="0"/>
              <w:sz w:val="22"/>
              <w:szCs w:val="22"/>
            </w:rPr>
          </w:pPr>
          <w:hyperlink w:anchor="_Toc73104282" w:history="1">
            <w:r w:rsidR="00E9142D" w:rsidRPr="006963BA">
              <w:rPr>
                <w:rStyle w:val="Hyperlink"/>
                <w:rFonts w:eastAsiaTheme="majorEastAsia"/>
                <w:noProof/>
              </w:rPr>
              <w:t>Questions and Answers</w:t>
            </w:r>
            <w:r w:rsidR="00E9142D">
              <w:rPr>
                <w:noProof/>
                <w:webHidden/>
              </w:rPr>
              <w:tab/>
            </w:r>
            <w:r w:rsidR="00E9142D">
              <w:rPr>
                <w:noProof/>
                <w:webHidden/>
              </w:rPr>
              <w:fldChar w:fldCharType="begin"/>
            </w:r>
            <w:r w:rsidR="00E9142D">
              <w:rPr>
                <w:noProof/>
                <w:webHidden/>
              </w:rPr>
              <w:instrText xml:space="preserve"> PAGEREF _Toc73104282 \h </w:instrText>
            </w:r>
            <w:r w:rsidR="00E9142D">
              <w:rPr>
                <w:noProof/>
                <w:webHidden/>
              </w:rPr>
            </w:r>
            <w:r w:rsidR="00E9142D">
              <w:rPr>
                <w:noProof/>
                <w:webHidden/>
              </w:rPr>
              <w:fldChar w:fldCharType="separate"/>
            </w:r>
            <w:r w:rsidR="00BF5D27">
              <w:rPr>
                <w:noProof/>
                <w:webHidden/>
              </w:rPr>
              <w:t>13</w:t>
            </w:r>
            <w:r w:rsidR="00E9142D">
              <w:rPr>
                <w:noProof/>
                <w:webHidden/>
              </w:rPr>
              <w:fldChar w:fldCharType="end"/>
            </w:r>
          </w:hyperlink>
        </w:p>
        <w:p w14:paraId="52768DF0" w14:textId="53A2A086" w:rsidR="00E9142D" w:rsidRDefault="00555EE7">
          <w:pPr>
            <w:pStyle w:val="TOC1"/>
            <w:rPr>
              <w:rFonts w:asciiTheme="minorHAnsi" w:eastAsiaTheme="minorEastAsia" w:hAnsiTheme="minorHAnsi" w:cstheme="minorBidi"/>
              <w:noProof/>
              <w:spacing w:val="0"/>
              <w:sz w:val="22"/>
              <w:szCs w:val="22"/>
            </w:rPr>
          </w:pPr>
          <w:hyperlink w:anchor="_Toc73104283" w:history="1">
            <w:r w:rsidR="00E9142D" w:rsidRPr="006963BA">
              <w:rPr>
                <w:rStyle w:val="Hyperlink"/>
                <w:rFonts w:eastAsiaTheme="majorEastAsia"/>
                <w:noProof/>
              </w:rPr>
              <w:t>How to contribute to the consultation process</w:t>
            </w:r>
            <w:r w:rsidR="00E9142D">
              <w:rPr>
                <w:noProof/>
                <w:webHidden/>
              </w:rPr>
              <w:tab/>
            </w:r>
            <w:r w:rsidR="00E9142D">
              <w:rPr>
                <w:noProof/>
                <w:webHidden/>
              </w:rPr>
              <w:fldChar w:fldCharType="begin"/>
            </w:r>
            <w:r w:rsidR="00E9142D">
              <w:rPr>
                <w:noProof/>
                <w:webHidden/>
              </w:rPr>
              <w:instrText xml:space="preserve"> PAGEREF _Toc73104283 \h </w:instrText>
            </w:r>
            <w:r w:rsidR="00E9142D">
              <w:rPr>
                <w:noProof/>
                <w:webHidden/>
              </w:rPr>
            </w:r>
            <w:r w:rsidR="00E9142D">
              <w:rPr>
                <w:noProof/>
                <w:webHidden/>
              </w:rPr>
              <w:fldChar w:fldCharType="separate"/>
            </w:r>
            <w:r w:rsidR="00BF5D27">
              <w:rPr>
                <w:noProof/>
                <w:webHidden/>
              </w:rPr>
              <w:t>14</w:t>
            </w:r>
            <w:r w:rsidR="00E9142D">
              <w:rPr>
                <w:noProof/>
                <w:webHidden/>
              </w:rPr>
              <w:fldChar w:fldCharType="end"/>
            </w:r>
          </w:hyperlink>
        </w:p>
        <w:p w14:paraId="5413EED1" w14:textId="14863D3E" w:rsidR="005A37AB" w:rsidRDefault="005A37AB" w:rsidP="00751E76">
          <w:pPr>
            <w:spacing w:before="0" w:after="0"/>
          </w:pPr>
          <w:r>
            <w:rPr>
              <w:b/>
              <w:bCs/>
              <w:noProof/>
            </w:rPr>
            <w:fldChar w:fldCharType="end"/>
          </w:r>
        </w:p>
      </w:sdtContent>
    </w:sdt>
    <w:p w14:paraId="2E8EDB20" w14:textId="77777777" w:rsidR="00751E76" w:rsidRDefault="00751E76">
      <w:pPr>
        <w:spacing w:before="0" w:after="200" w:line="276" w:lineRule="auto"/>
        <w:rPr>
          <w:rFonts w:ascii="Georgia" w:eastAsiaTheme="majorEastAsia" w:hAnsi="Georgia" w:cstheme="majorBidi"/>
          <w:bCs/>
          <w:color w:val="24596E"/>
          <w:sz w:val="36"/>
          <w:szCs w:val="28"/>
        </w:rPr>
      </w:pPr>
      <w:r>
        <w:br w:type="page"/>
      </w:r>
    </w:p>
    <w:p w14:paraId="190BEC7A" w14:textId="230C6BC3" w:rsidR="00B15AE8" w:rsidRDefault="00B15AE8" w:rsidP="00337926">
      <w:pPr>
        <w:pStyle w:val="Heading1"/>
      </w:pPr>
      <w:bookmarkStart w:id="1" w:name="_Toc73104272"/>
      <w:r>
        <w:lastRenderedPageBreak/>
        <w:t>Foreword</w:t>
      </w:r>
      <w:bookmarkEnd w:id="1"/>
    </w:p>
    <w:p w14:paraId="0D09ED76" w14:textId="641996E1" w:rsidR="00201A35" w:rsidRDefault="00201A35" w:rsidP="00201A35"/>
    <w:p w14:paraId="0EE36205" w14:textId="77777777" w:rsidR="00201A35" w:rsidRDefault="00BF1588" w:rsidP="00B33293">
      <w:pPr>
        <w:rPr>
          <w:rFonts w:asciiTheme="minorHAnsi" w:hAnsiTheme="minorHAnsi" w:cstheme="minorHAnsi"/>
        </w:rPr>
      </w:pPr>
      <w:r w:rsidRPr="00086596">
        <w:rPr>
          <w:rFonts w:asciiTheme="minorHAnsi" w:hAnsiTheme="minorHAnsi" w:cstheme="minorHAnsi"/>
        </w:rPr>
        <w:t>The Australian Government is committed to improving the lives of people with disability, their families and carers.</w:t>
      </w:r>
    </w:p>
    <w:p w14:paraId="1B6F3478" w14:textId="7E2B5DC5" w:rsidR="00BF1588" w:rsidRPr="00086596" w:rsidRDefault="00BF1588" w:rsidP="00B33293">
      <w:pPr>
        <w:rPr>
          <w:rFonts w:asciiTheme="minorHAnsi" w:hAnsiTheme="minorHAnsi" w:cstheme="minorHAnsi"/>
        </w:rPr>
      </w:pPr>
      <w:r w:rsidRPr="00086596">
        <w:rPr>
          <w:rFonts w:asciiTheme="minorHAnsi" w:hAnsiTheme="minorHAnsi" w:cstheme="minorHAnsi"/>
        </w:rPr>
        <w:t>The Disability Support Pension provides income support payments to more than 7</w:t>
      </w:r>
      <w:r w:rsidR="00EF3B25">
        <w:rPr>
          <w:rFonts w:asciiTheme="minorHAnsi" w:hAnsiTheme="minorHAnsi" w:cstheme="minorHAnsi"/>
        </w:rPr>
        <w:t>5</w:t>
      </w:r>
      <w:r w:rsidRPr="00086596">
        <w:rPr>
          <w:rFonts w:asciiTheme="minorHAnsi" w:hAnsiTheme="minorHAnsi" w:cstheme="minorHAnsi"/>
        </w:rPr>
        <w:t xml:space="preserve">0,000 people with permanent physical, intellectual and/or psychiatric impairments </w:t>
      </w:r>
      <w:r w:rsidR="00176ECD">
        <w:rPr>
          <w:rFonts w:asciiTheme="minorHAnsi" w:hAnsiTheme="minorHAnsi" w:cstheme="minorHAnsi"/>
        </w:rPr>
        <w:t>which</w:t>
      </w:r>
      <w:r w:rsidRPr="00086596">
        <w:rPr>
          <w:rFonts w:asciiTheme="minorHAnsi" w:hAnsiTheme="minorHAnsi" w:cstheme="minorHAnsi"/>
        </w:rPr>
        <w:t xml:space="preserve"> prevent them from engaging in employment.</w:t>
      </w:r>
    </w:p>
    <w:p w14:paraId="143C9BFD" w14:textId="30D38911" w:rsidR="00BF1588" w:rsidRPr="00086596" w:rsidRDefault="00BF1588" w:rsidP="00B33293">
      <w:pPr>
        <w:rPr>
          <w:rFonts w:asciiTheme="minorHAnsi" w:hAnsiTheme="minorHAnsi" w:cstheme="minorHAnsi"/>
        </w:rPr>
      </w:pPr>
      <w:r w:rsidRPr="00086596">
        <w:rPr>
          <w:rFonts w:asciiTheme="minorHAnsi" w:hAnsiTheme="minorHAnsi" w:cstheme="minorHAnsi"/>
        </w:rPr>
        <w:t>To determine eligibility for the Disability Support Pension, Services Australia use</w:t>
      </w:r>
      <w:r w:rsidR="00DB40DD">
        <w:rPr>
          <w:rFonts w:asciiTheme="minorHAnsi" w:hAnsiTheme="minorHAnsi" w:cstheme="minorHAnsi"/>
        </w:rPr>
        <w:t xml:space="preserve"> a legislative instrument, </w:t>
      </w:r>
      <w:r w:rsidRPr="00086596">
        <w:rPr>
          <w:rFonts w:asciiTheme="minorHAnsi" w:hAnsiTheme="minorHAnsi" w:cstheme="minorHAnsi"/>
        </w:rPr>
        <w:t>the Impairment Tables</w:t>
      </w:r>
      <w:r w:rsidR="00F357B2">
        <w:rPr>
          <w:rFonts w:asciiTheme="minorHAnsi" w:hAnsiTheme="minorHAnsi" w:cstheme="minorHAnsi"/>
        </w:rPr>
        <w:t>,</w:t>
      </w:r>
      <w:r w:rsidRPr="00086596">
        <w:rPr>
          <w:rFonts w:asciiTheme="minorHAnsi" w:hAnsiTheme="minorHAnsi" w:cstheme="minorHAnsi"/>
        </w:rPr>
        <w:t xml:space="preserve"> to assess how a person’s functional impairment affects their ability to work.</w:t>
      </w:r>
    </w:p>
    <w:p w14:paraId="7438FBD1" w14:textId="356A0E2C" w:rsidR="00BF1588" w:rsidRPr="00086596" w:rsidRDefault="00BF1588" w:rsidP="00B33293">
      <w:pPr>
        <w:rPr>
          <w:rFonts w:asciiTheme="minorHAnsi" w:hAnsiTheme="minorHAnsi" w:cstheme="minorHAnsi"/>
        </w:rPr>
      </w:pPr>
      <w:r w:rsidRPr="00086596">
        <w:rPr>
          <w:rFonts w:asciiTheme="minorHAnsi" w:hAnsiTheme="minorHAnsi" w:cstheme="minorHAnsi"/>
        </w:rPr>
        <w:t xml:space="preserve">In 2011, changes to the Impairment Tables </w:t>
      </w:r>
      <w:r w:rsidR="009156C1">
        <w:rPr>
          <w:rFonts w:asciiTheme="minorHAnsi" w:hAnsiTheme="minorHAnsi" w:cstheme="minorHAnsi"/>
        </w:rPr>
        <w:t xml:space="preserve">were implemented </w:t>
      </w:r>
      <w:r w:rsidRPr="00086596">
        <w:rPr>
          <w:rFonts w:asciiTheme="minorHAnsi" w:hAnsiTheme="minorHAnsi" w:cstheme="minorHAnsi"/>
        </w:rPr>
        <w:t>to ensure they were</w:t>
      </w:r>
      <w:r w:rsidR="009E0A96">
        <w:rPr>
          <w:rFonts w:asciiTheme="minorHAnsi" w:hAnsiTheme="minorHAnsi" w:cstheme="minorHAnsi"/>
        </w:rPr>
        <w:br/>
      </w:r>
      <w:r w:rsidRPr="00086596">
        <w:rPr>
          <w:rFonts w:asciiTheme="minorHAnsi" w:hAnsiTheme="minorHAnsi" w:cstheme="minorHAnsi"/>
        </w:rPr>
        <w:t>up-to-date with current medical and rehabilitation practice. It is now time to review the tables to ensure they still remain fit for purpose and reflect the advances in medical treatments and assistive technology over the last nine years.</w:t>
      </w:r>
    </w:p>
    <w:p w14:paraId="492188FF" w14:textId="581A8338" w:rsidR="00BF1588" w:rsidRPr="00086596" w:rsidRDefault="00BF1588" w:rsidP="00B33293">
      <w:pPr>
        <w:rPr>
          <w:rFonts w:asciiTheme="minorHAnsi" w:hAnsiTheme="minorHAnsi" w:cstheme="minorHAnsi"/>
        </w:rPr>
      </w:pPr>
      <w:r w:rsidRPr="00086596">
        <w:rPr>
          <w:rFonts w:asciiTheme="minorHAnsi" w:hAnsiTheme="minorHAnsi" w:cstheme="minorHAnsi"/>
        </w:rPr>
        <w:t xml:space="preserve">As part of the review, feedback </w:t>
      </w:r>
      <w:r w:rsidR="009156C1">
        <w:rPr>
          <w:rFonts w:asciiTheme="minorHAnsi" w:hAnsiTheme="minorHAnsi" w:cstheme="minorHAnsi"/>
        </w:rPr>
        <w:t xml:space="preserve">is being sought </w:t>
      </w:r>
      <w:r w:rsidRPr="00086596">
        <w:rPr>
          <w:rFonts w:asciiTheme="minorHAnsi" w:hAnsiTheme="minorHAnsi" w:cstheme="minorHAnsi"/>
        </w:rPr>
        <w:t>from stakeholders about the experience of people with disability when the Impairment Tables are applied to their individual health condition and related impairments.</w:t>
      </w:r>
    </w:p>
    <w:p w14:paraId="26917315" w14:textId="133C366A" w:rsidR="00BF1588" w:rsidRPr="00086596" w:rsidRDefault="00BF1588" w:rsidP="00B33293">
      <w:pPr>
        <w:rPr>
          <w:rFonts w:asciiTheme="minorHAnsi" w:hAnsiTheme="minorHAnsi" w:cstheme="minorHAnsi"/>
        </w:rPr>
      </w:pPr>
      <w:r w:rsidRPr="00086596">
        <w:rPr>
          <w:rFonts w:asciiTheme="minorHAnsi" w:hAnsiTheme="minorHAnsi" w:cstheme="minorHAnsi"/>
        </w:rPr>
        <w:t xml:space="preserve">This </w:t>
      </w:r>
      <w:r w:rsidR="004335EC">
        <w:rPr>
          <w:rFonts w:asciiTheme="minorHAnsi" w:hAnsiTheme="minorHAnsi" w:cstheme="minorHAnsi"/>
        </w:rPr>
        <w:t xml:space="preserve">issues </w:t>
      </w:r>
      <w:r w:rsidRPr="00086596">
        <w:rPr>
          <w:rFonts w:asciiTheme="minorHAnsi" w:hAnsiTheme="minorHAnsi" w:cstheme="minorHAnsi"/>
        </w:rPr>
        <w:t>paper, along with a survey on the D</w:t>
      </w:r>
      <w:r w:rsidR="006B0324">
        <w:rPr>
          <w:rFonts w:asciiTheme="minorHAnsi" w:hAnsiTheme="minorHAnsi" w:cstheme="minorHAnsi"/>
        </w:rPr>
        <w:t xml:space="preserve">epartment of </w:t>
      </w:r>
      <w:r w:rsidRPr="00086596">
        <w:rPr>
          <w:rFonts w:asciiTheme="minorHAnsi" w:hAnsiTheme="minorHAnsi" w:cstheme="minorHAnsi"/>
        </w:rPr>
        <w:t>S</w:t>
      </w:r>
      <w:r w:rsidR="006B0324">
        <w:rPr>
          <w:rFonts w:asciiTheme="minorHAnsi" w:hAnsiTheme="minorHAnsi" w:cstheme="minorHAnsi"/>
        </w:rPr>
        <w:t xml:space="preserve">ocial </w:t>
      </w:r>
      <w:r w:rsidRPr="00086596">
        <w:rPr>
          <w:rFonts w:asciiTheme="minorHAnsi" w:hAnsiTheme="minorHAnsi" w:cstheme="minorHAnsi"/>
        </w:rPr>
        <w:t>S</w:t>
      </w:r>
      <w:r w:rsidR="006B0324">
        <w:rPr>
          <w:rFonts w:asciiTheme="minorHAnsi" w:hAnsiTheme="minorHAnsi" w:cstheme="minorHAnsi"/>
        </w:rPr>
        <w:t>ervices</w:t>
      </w:r>
      <w:r w:rsidRPr="00086596">
        <w:rPr>
          <w:rFonts w:asciiTheme="minorHAnsi" w:hAnsiTheme="minorHAnsi" w:cstheme="minorHAnsi"/>
        </w:rPr>
        <w:t xml:space="preserve"> </w:t>
      </w:r>
      <w:r w:rsidR="00D304CF">
        <w:rPr>
          <w:rFonts w:asciiTheme="minorHAnsi" w:hAnsiTheme="minorHAnsi" w:cstheme="minorHAnsi"/>
        </w:rPr>
        <w:t>E</w:t>
      </w:r>
      <w:r w:rsidRPr="00086596">
        <w:rPr>
          <w:rFonts w:asciiTheme="minorHAnsi" w:hAnsiTheme="minorHAnsi" w:cstheme="minorHAnsi"/>
        </w:rPr>
        <w:t>ngage website will provide stakeholders with an opportunity to submit their feedback.</w:t>
      </w:r>
    </w:p>
    <w:p w14:paraId="2C19FDB6" w14:textId="5B17D915" w:rsidR="00897F18" w:rsidRPr="00715601" w:rsidRDefault="00897F18" w:rsidP="00B33293">
      <w:pPr>
        <w:rPr>
          <w:rFonts w:ascii="Calibri" w:hAnsi="Calibri"/>
          <w:color w:val="1F497D"/>
          <w:spacing w:val="0"/>
          <w:sz w:val="22"/>
          <w:szCs w:val="22"/>
        </w:rPr>
      </w:pPr>
      <w:r>
        <w:t xml:space="preserve">The review will uphold underlying principles of pension payments – including the Disability Support Pension – which are </w:t>
      </w:r>
      <w:r w:rsidR="009156C1">
        <w:t xml:space="preserve">long </w:t>
      </w:r>
      <w:r w:rsidR="00F2083A">
        <w:t>term</w:t>
      </w:r>
      <w:r>
        <w:t xml:space="preserve"> payments that are paid at the highest rate in the income support system. The Disability Support Pension is only one element of a range of supports the Government has in place for people with disability.</w:t>
      </w:r>
      <w:r w:rsidR="009E0A96">
        <w:br/>
      </w:r>
      <w:r>
        <w:t>The Government is strongly committed to the integrity and sustainability of the income support system as a safety net for people who need it most.</w:t>
      </w:r>
    </w:p>
    <w:p w14:paraId="45366E89" w14:textId="4693F307" w:rsidR="00BF1588" w:rsidRPr="00086596" w:rsidRDefault="009156C1" w:rsidP="00B33293">
      <w:pPr>
        <w:rPr>
          <w:rFonts w:asciiTheme="minorHAnsi" w:hAnsiTheme="minorHAnsi" w:cstheme="minorHAnsi"/>
        </w:rPr>
      </w:pPr>
      <w:r>
        <w:rPr>
          <w:rFonts w:asciiTheme="minorHAnsi" w:hAnsiTheme="minorHAnsi" w:cstheme="minorHAnsi"/>
        </w:rPr>
        <w:t>F</w:t>
      </w:r>
      <w:r w:rsidR="00BF1588" w:rsidRPr="00086596">
        <w:rPr>
          <w:rFonts w:asciiTheme="minorHAnsi" w:hAnsiTheme="minorHAnsi" w:cstheme="minorHAnsi"/>
        </w:rPr>
        <w:t xml:space="preserve">eedback will help us maintain a safety net system for people </w:t>
      </w:r>
      <w:r w:rsidR="00CA313E">
        <w:rPr>
          <w:rFonts w:asciiTheme="minorHAnsi" w:hAnsiTheme="minorHAnsi" w:cstheme="minorHAnsi"/>
        </w:rPr>
        <w:t xml:space="preserve">with disability </w:t>
      </w:r>
      <w:r w:rsidR="00BF1588" w:rsidRPr="00086596">
        <w:rPr>
          <w:rFonts w:asciiTheme="minorHAnsi" w:hAnsiTheme="minorHAnsi" w:cstheme="minorHAnsi"/>
        </w:rPr>
        <w:t>who are unable</w:t>
      </w:r>
      <w:r w:rsidR="00952A28">
        <w:rPr>
          <w:rFonts w:asciiTheme="minorHAnsi" w:hAnsiTheme="minorHAnsi" w:cstheme="minorHAnsi"/>
        </w:rPr>
        <w:t xml:space="preserve"> to</w:t>
      </w:r>
      <w:r w:rsidR="00BF1588" w:rsidRPr="00086596">
        <w:rPr>
          <w:rFonts w:asciiTheme="minorHAnsi" w:hAnsiTheme="minorHAnsi" w:cstheme="minorHAnsi"/>
        </w:rPr>
        <w:t xml:space="preserve"> work</w:t>
      </w:r>
      <w:r w:rsidR="00952A28">
        <w:rPr>
          <w:rFonts w:asciiTheme="minorHAnsi" w:hAnsiTheme="minorHAnsi" w:cstheme="minorHAnsi"/>
        </w:rPr>
        <w:t xml:space="preserve">. </w:t>
      </w:r>
    </w:p>
    <w:p w14:paraId="5649821E" w14:textId="12A7BB75" w:rsidR="00201A35" w:rsidRDefault="009156C1" w:rsidP="00B33293">
      <w:pPr>
        <w:rPr>
          <w:rFonts w:asciiTheme="minorHAnsi" w:hAnsiTheme="minorHAnsi" w:cstheme="minorHAnsi"/>
        </w:rPr>
      </w:pPr>
      <w:r>
        <w:rPr>
          <w:rFonts w:asciiTheme="minorHAnsi" w:hAnsiTheme="minorHAnsi" w:cstheme="minorHAnsi"/>
        </w:rPr>
        <w:t xml:space="preserve">Read the issues paper and visit </w:t>
      </w:r>
      <w:hyperlink r:id="rId14" w:history="1">
        <w:r w:rsidRPr="00DF106C">
          <w:rPr>
            <w:rStyle w:val="Hyperlink"/>
            <w:rFonts w:asciiTheme="minorHAnsi" w:hAnsiTheme="minorHAnsi" w:cstheme="minorHAnsi"/>
            <w:sz w:val="24"/>
          </w:rPr>
          <w:t>www.engage.dss.gov.au</w:t>
        </w:r>
      </w:hyperlink>
      <w:r>
        <w:rPr>
          <w:rFonts w:asciiTheme="minorHAnsi" w:hAnsiTheme="minorHAnsi" w:cstheme="minorHAnsi"/>
        </w:rPr>
        <w:t xml:space="preserve"> to have your say and </w:t>
      </w:r>
      <w:r w:rsidR="00BF1588" w:rsidRPr="00086596">
        <w:rPr>
          <w:rFonts w:asciiTheme="minorHAnsi" w:hAnsiTheme="minorHAnsi" w:cstheme="minorHAnsi"/>
        </w:rPr>
        <w:t>share this information with your colleagues, disability organisations as well as people with disability, their families and carers.</w:t>
      </w:r>
    </w:p>
    <w:p w14:paraId="4DDB3926" w14:textId="02F42B98" w:rsidR="009156C1" w:rsidRDefault="009156C1">
      <w:pPr>
        <w:spacing w:before="0" w:after="200" w:line="276" w:lineRule="auto"/>
        <w:rPr>
          <w:rFonts w:asciiTheme="minorHAnsi" w:hAnsiTheme="minorHAnsi" w:cstheme="minorHAnsi"/>
        </w:rPr>
      </w:pPr>
      <w:r>
        <w:rPr>
          <w:rFonts w:asciiTheme="minorHAnsi" w:hAnsiTheme="minorHAnsi" w:cstheme="minorHAnsi"/>
        </w:rPr>
        <w:br w:type="page"/>
      </w:r>
    </w:p>
    <w:p w14:paraId="4086B9E8" w14:textId="6CFC0B94" w:rsidR="00304A8F" w:rsidRDefault="00384126" w:rsidP="00337926">
      <w:pPr>
        <w:pStyle w:val="Heading1"/>
      </w:pPr>
      <w:bookmarkStart w:id="2" w:name="_Toc73104273"/>
      <w:r>
        <w:lastRenderedPageBreak/>
        <w:t>Background</w:t>
      </w:r>
      <w:bookmarkEnd w:id="2"/>
      <w:r>
        <w:t xml:space="preserve"> </w:t>
      </w:r>
    </w:p>
    <w:p w14:paraId="1C551285" w14:textId="335B65CD" w:rsidR="000765D5" w:rsidRDefault="000765D5" w:rsidP="000765D5">
      <w:pPr>
        <w:pStyle w:val="Heading2"/>
      </w:pPr>
      <w:bookmarkStart w:id="3" w:name="_Toc73104274"/>
      <w:r>
        <w:t>Introduction to Disability Support Pension</w:t>
      </w:r>
      <w:bookmarkEnd w:id="3"/>
    </w:p>
    <w:p w14:paraId="64D86707" w14:textId="6CA2B746" w:rsidR="00EF3B25" w:rsidRDefault="00040AE1" w:rsidP="00040AE1">
      <w:pPr>
        <w:rPr>
          <w:rFonts w:cs="Arial"/>
        </w:rPr>
      </w:pPr>
      <w:r>
        <w:rPr>
          <w:rFonts w:cs="Arial"/>
        </w:rPr>
        <w:t xml:space="preserve">The Disability Support Pension (DSP) is an income support payment </w:t>
      </w:r>
      <w:r w:rsidR="00EF3B25">
        <w:rPr>
          <w:rFonts w:cs="Arial"/>
        </w:rPr>
        <w:t xml:space="preserve">to provide financial help </w:t>
      </w:r>
      <w:r>
        <w:rPr>
          <w:rFonts w:cs="Arial"/>
        </w:rPr>
        <w:t>for people who are unable to work</w:t>
      </w:r>
      <w:r w:rsidR="00E701C0">
        <w:rPr>
          <w:rFonts w:cs="Arial"/>
        </w:rPr>
        <w:t>, for 15 or more hours per week,</w:t>
      </w:r>
      <w:r>
        <w:rPr>
          <w:rFonts w:cs="Arial"/>
        </w:rPr>
        <w:t xml:space="preserve"> due to permanent physical, intellectual </w:t>
      </w:r>
      <w:r w:rsidR="00EF3B25">
        <w:rPr>
          <w:rFonts w:cs="Arial"/>
        </w:rPr>
        <w:t>or</w:t>
      </w:r>
      <w:r>
        <w:rPr>
          <w:rFonts w:cs="Arial"/>
        </w:rPr>
        <w:t xml:space="preserve"> psychiatric impairment.</w:t>
      </w:r>
    </w:p>
    <w:p w14:paraId="204B071D" w14:textId="3CB9F3CC" w:rsidR="00E17475" w:rsidRDefault="00E17475" w:rsidP="00040AE1">
      <w:pPr>
        <w:rPr>
          <w:rFonts w:cs="Arial"/>
        </w:rPr>
      </w:pPr>
      <w:r>
        <w:rPr>
          <w:rFonts w:cs="Arial"/>
        </w:rPr>
        <w:t xml:space="preserve">There are currently </w:t>
      </w:r>
      <w:r w:rsidR="009156C1">
        <w:rPr>
          <w:rFonts w:cs="Arial"/>
        </w:rPr>
        <w:t>more than</w:t>
      </w:r>
      <w:r>
        <w:rPr>
          <w:rFonts w:cs="Arial"/>
        </w:rPr>
        <w:t xml:space="preserve"> 750,000 </w:t>
      </w:r>
      <w:r w:rsidR="00F357B2">
        <w:rPr>
          <w:rFonts w:cs="Arial"/>
        </w:rPr>
        <w:t xml:space="preserve">people </w:t>
      </w:r>
      <w:r>
        <w:rPr>
          <w:rFonts w:cs="Arial"/>
        </w:rPr>
        <w:t xml:space="preserve">in receipt of DSP. To be eligible for DSP, applicants must have an impairment </w:t>
      </w:r>
      <w:r w:rsidRPr="00E17475">
        <w:rPr>
          <w:rFonts w:cs="Arial"/>
        </w:rPr>
        <w:t xml:space="preserve">which attracts at least 20 points under the </w:t>
      </w:r>
      <w:r>
        <w:rPr>
          <w:rFonts w:cs="Arial"/>
        </w:rPr>
        <w:t xml:space="preserve">Impairment </w:t>
      </w:r>
      <w:r w:rsidRPr="00E17475">
        <w:rPr>
          <w:rFonts w:cs="Arial"/>
        </w:rPr>
        <w:t>Tables</w:t>
      </w:r>
      <w:r>
        <w:rPr>
          <w:rFonts w:cs="Arial"/>
        </w:rPr>
        <w:t>.</w:t>
      </w:r>
      <w:r w:rsidRPr="00E17475">
        <w:rPr>
          <w:rFonts w:cs="Arial"/>
        </w:rPr>
        <w:t xml:space="preserve"> When applying for DSP, the person must also be assessed as being unable to work for 15 or more hours per week, for at least the next two years, because of their impairment.</w:t>
      </w:r>
    </w:p>
    <w:p w14:paraId="096DCC38" w14:textId="3F2E08A6" w:rsidR="00384126" w:rsidRDefault="00304A8F" w:rsidP="00304A8F">
      <w:pPr>
        <w:pStyle w:val="Heading2"/>
      </w:pPr>
      <w:bookmarkStart w:id="4" w:name="_Toc73104275"/>
      <w:r>
        <w:t>Legislative Instrument</w:t>
      </w:r>
      <w:bookmarkEnd w:id="4"/>
    </w:p>
    <w:p w14:paraId="5440365E" w14:textId="67F968A7" w:rsidR="00384126" w:rsidRPr="00086596" w:rsidRDefault="00384126" w:rsidP="00B33293">
      <w:pPr>
        <w:rPr>
          <w:rFonts w:asciiTheme="minorHAnsi" w:hAnsiTheme="minorHAnsi" w:cstheme="minorHAnsi"/>
        </w:rPr>
      </w:pPr>
      <w:r w:rsidRPr="00086596">
        <w:rPr>
          <w:rFonts w:asciiTheme="minorHAnsi" w:hAnsiTheme="minorHAnsi" w:cstheme="minorHAnsi"/>
        </w:rPr>
        <w:t>The</w:t>
      </w:r>
      <w:r w:rsidR="00A401FA" w:rsidRPr="00086596">
        <w:rPr>
          <w:rFonts w:asciiTheme="minorHAnsi" w:hAnsiTheme="minorHAnsi" w:cstheme="minorHAnsi"/>
        </w:rPr>
        <w:t xml:space="preserve"> </w:t>
      </w:r>
      <w:r w:rsidR="00D304CF">
        <w:rPr>
          <w:rFonts w:asciiTheme="minorHAnsi" w:hAnsiTheme="minorHAnsi" w:cstheme="minorHAnsi"/>
        </w:rPr>
        <w:t>l</w:t>
      </w:r>
      <w:r w:rsidR="00A401FA" w:rsidRPr="00086596">
        <w:rPr>
          <w:rFonts w:asciiTheme="minorHAnsi" w:hAnsiTheme="minorHAnsi" w:cstheme="minorHAnsi"/>
        </w:rPr>
        <w:t xml:space="preserve">egislative </w:t>
      </w:r>
      <w:r w:rsidR="00D304CF">
        <w:rPr>
          <w:rFonts w:asciiTheme="minorHAnsi" w:hAnsiTheme="minorHAnsi" w:cstheme="minorHAnsi"/>
        </w:rPr>
        <w:t>i</w:t>
      </w:r>
      <w:r w:rsidR="00A401FA" w:rsidRPr="00086596">
        <w:rPr>
          <w:rFonts w:asciiTheme="minorHAnsi" w:hAnsiTheme="minorHAnsi" w:cstheme="minorHAnsi"/>
        </w:rPr>
        <w:t>nstrument</w:t>
      </w:r>
      <w:r w:rsidRPr="00086596">
        <w:rPr>
          <w:rFonts w:asciiTheme="minorHAnsi" w:hAnsiTheme="minorHAnsi" w:cstheme="minorHAnsi"/>
        </w:rPr>
        <w:t xml:space="preserve"> </w:t>
      </w:r>
      <w:r w:rsidR="00A401FA" w:rsidRPr="00086596">
        <w:rPr>
          <w:rFonts w:asciiTheme="minorHAnsi" w:hAnsiTheme="minorHAnsi" w:cstheme="minorHAnsi"/>
        </w:rPr>
        <w:t>‘</w:t>
      </w:r>
      <w:r w:rsidRPr="00086596">
        <w:rPr>
          <w:rFonts w:asciiTheme="minorHAnsi" w:hAnsiTheme="minorHAnsi" w:cstheme="minorHAnsi"/>
        </w:rPr>
        <w:t>Social Security (Tables for the Assessment of Work-related Impairment for Disability Support Pension) Determination 2011</w:t>
      </w:r>
      <w:r w:rsidR="00A401FA" w:rsidRPr="00086596">
        <w:rPr>
          <w:rFonts w:asciiTheme="minorHAnsi" w:hAnsiTheme="minorHAnsi" w:cstheme="minorHAnsi"/>
        </w:rPr>
        <w:t>’</w:t>
      </w:r>
      <w:r w:rsidRPr="00086596">
        <w:rPr>
          <w:rFonts w:asciiTheme="minorHAnsi" w:hAnsiTheme="minorHAnsi" w:cstheme="minorHAnsi"/>
        </w:rPr>
        <w:t xml:space="preserve"> (the </w:t>
      </w:r>
      <w:r w:rsidR="00670D57">
        <w:rPr>
          <w:rFonts w:asciiTheme="minorHAnsi" w:hAnsiTheme="minorHAnsi" w:cstheme="minorHAnsi"/>
        </w:rPr>
        <w:t xml:space="preserve">Impairment </w:t>
      </w:r>
      <w:r w:rsidRPr="00086596">
        <w:rPr>
          <w:rFonts w:asciiTheme="minorHAnsi" w:hAnsiTheme="minorHAnsi" w:cstheme="minorHAnsi"/>
        </w:rPr>
        <w:t>Tables) contains 15 individual Impairment Tables used to assess a person’s functional impairment and its effect on their capacity to work</w:t>
      </w:r>
      <w:r w:rsidR="00CA313E">
        <w:rPr>
          <w:rFonts w:asciiTheme="minorHAnsi" w:hAnsiTheme="minorHAnsi" w:cstheme="minorHAnsi"/>
        </w:rPr>
        <w:t xml:space="preserve"> when a person applies for DSP.</w:t>
      </w:r>
      <w:r w:rsidRPr="00086596">
        <w:rPr>
          <w:rFonts w:asciiTheme="minorHAnsi" w:hAnsiTheme="minorHAnsi" w:cstheme="minorHAnsi"/>
        </w:rPr>
        <w:t xml:space="preserve"> </w:t>
      </w:r>
    </w:p>
    <w:p w14:paraId="3E728C90" w14:textId="351DBFCC" w:rsidR="00384126" w:rsidRDefault="00384126" w:rsidP="00B33293">
      <w:pPr>
        <w:rPr>
          <w:rFonts w:asciiTheme="minorHAnsi" w:hAnsiTheme="minorHAnsi" w:cstheme="minorHAnsi"/>
        </w:rPr>
      </w:pPr>
      <w:r w:rsidRPr="00086596">
        <w:rPr>
          <w:rFonts w:asciiTheme="minorHAnsi" w:hAnsiTheme="minorHAnsi" w:cstheme="minorHAnsi"/>
        </w:rPr>
        <w:t xml:space="preserve">This </w:t>
      </w:r>
      <w:r w:rsidR="00D304CF">
        <w:rPr>
          <w:rFonts w:asciiTheme="minorHAnsi" w:hAnsiTheme="minorHAnsi" w:cstheme="minorHAnsi"/>
        </w:rPr>
        <w:t>l</w:t>
      </w:r>
      <w:r w:rsidRPr="00086596">
        <w:rPr>
          <w:rFonts w:asciiTheme="minorHAnsi" w:hAnsiTheme="minorHAnsi" w:cstheme="minorHAnsi"/>
        </w:rPr>
        <w:t xml:space="preserve">egislative </w:t>
      </w:r>
      <w:r w:rsidR="00D304CF">
        <w:rPr>
          <w:rFonts w:asciiTheme="minorHAnsi" w:hAnsiTheme="minorHAnsi" w:cstheme="minorHAnsi"/>
        </w:rPr>
        <w:t>i</w:t>
      </w:r>
      <w:r w:rsidRPr="00086596">
        <w:rPr>
          <w:rFonts w:asciiTheme="minorHAnsi" w:hAnsiTheme="minorHAnsi" w:cstheme="minorHAnsi"/>
        </w:rPr>
        <w:t xml:space="preserve">nstrument is due to lapse (sunset) on 1 April 2022. </w:t>
      </w:r>
      <w:r w:rsidR="000F05A6">
        <w:rPr>
          <w:rFonts w:asciiTheme="minorHAnsi" w:hAnsiTheme="minorHAnsi" w:cstheme="minorHAnsi"/>
        </w:rPr>
        <w:t xml:space="preserve">Without an instrument in place </w:t>
      </w:r>
      <w:r w:rsidRPr="00086596">
        <w:rPr>
          <w:rFonts w:asciiTheme="minorHAnsi" w:hAnsiTheme="minorHAnsi" w:cstheme="minorHAnsi"/>
        </w:rPr>
        <w:t xml:space="preserve">there is </w:t>
      </w:r>
      <w:r w:rsidR="000F05A6">
        <w:rPr>
          <w:rFonts w:asciiTheme="minorHAnsi" w:hAnsiTheme="minorHAnsi" w:cstheme="minorHAnsi"/>
        </w:rPr>
        <w:t>no</w:t>
      </w:r>
      <w:r w:rsidRPr="00086596">
        <w:rPr>
          <w:rFonts w:asciiTheme="minorHAnsi" w:hAnsiTheme="minorHAnsi" w:cstheme="minorHAnsi"/>
        </w:rPr>
        <w:t xml:space="preserve"> legal basis to assess and grant DSP to new applicants who meet the relevant qualification criteria. </w:t>
      </w:r>
    </w:p>
    <w:p w14:paraId="0FCAC99D" w14:textId="7FA22401" w:rsidR="00304A8F" w:rsidRPr="00086596" w:rsidRDefault="00597EE4" w:rsidP="00304A8F">
      <w:pPr>
        <w:pStyle w:val="Heading2"/>
      </w:pPr>
      <w:bookmarkStart w:id="5" w:name="_Toc73104276"/>
      <w:r>
        <w:t xml:space="preserve">Scale of the </w:t>
      </w:r>
      <w:r w:rsidR="00DB40DD">
        <w:t xml:space="preserve">Review of the </w:t>
      </w:r>
      <w:r w:rsidR="00304A8F">
        <w:t>Impairment Tables</w:t>
      </w:r>
      <w:bookmarkEnd w:id="5"/>
    </w:p>
    <w:p w14:paraId="2222F599" w14:textId="24444A27" w:rsidR="00384126" w:rsidRPr="00086596" w:rsidRDefault="00384126" w:rsidP="00B33293">
      <w:pPr>
        <w:rPr>
          <w:rFonts w:asciiTheme="minorHAnsi" w:hAnsiTheme="minorHAnsi" w:cstheme="minorHAnsi"/>
        </w:rPr>
      </w:pPr>
      <w:r w:rsidRPr="00086596">
        <w:rPr>
          <w:rFonts w:asciiTheme="minorHAnsi" w:hAnsiTheme="minorHAnsi" w:cstheme="minorHAnsi"/>
        </w:rPr>
        <w:t xml:space="preserve">The Impairment Tables underwent a </w:t>
      </w:r>
      <w:r w:rsidR="00144C88">
        <w:rPr>
          <w:rFonts w:asciiTheme="minorHAnsi" w:hAnsiTheme="minorHAnsi" w:cstheme="minorHAnsi"/>
        </w:rPr>
        <w:t xml:space="preserve">significant </w:t>
      </w:r>
      <w:r w:rsidRPr="00086596">
        <w:rPr>
          <w:rFonts w:asciiTheme="minorHAnsi" w:hAnsiTheme="minorHAnsi" w:cstheme="minorHAnsi"/>
        </w:rPr>
        <w:t>review in 2011 with substantial changes made. The 2011 review was a major undertaking to modernise the Impairment Tables to reflect contemporary medical and rehabilitation practices,</w:t>
      </w:r>
      <w:r w:rsidR="00144C88">
        <w:rPr>
          <w:rFonts w:asciiTheme="minorHAnsi" w:hAnsiTheme="minorHAnsi" w:cstheme="minorHAnsi"/>
        </w:rPr>
        <w:t xml:space="preserve"> </w:t>
      </w:r>
      <w:r w:rsidRPr="00086596">
        <w:rPr>
          <w:rFonts w:asciiTheme="minorHAnsi" w:hAnsiTheme="minorHAnsi" w:cstheme="minorHAnsi"/>
        </w:rPr>
        <w:t>ensuring DSP assessment processes accurately and effectively identify people with a capacity to work</w:t>
      </w:r>
      <w:r w:rsidR="00144C88">
        <w:rPr>
          <w:rFonts w:asciiTheme="minorHAnsi" w:hAnsiTheme="minorHAnsi" w:cstheme="minorHAnsi"/>
        </w:rPr>
        <w:t>,</w:t>
      </w:r>
      <w:r w:rsidRPr="00086596">
        <w:rPr>
          <w:rFonts w:asciiTheme="minorHAnsi" w:hAnsiTheme="minorHAnsi" w:cstheme="minorHAnsi"/>
        </w:rPr>
        <w:t xml:space="preserve"> and assist people with a profound disability or terminal illness </w:t>
      </w:r>
      <w:r w:rsidR="00144C88">
        <w:rPr>
          <w:rFonts w:asciiTheme="minorHAnsi" w:hAnsiTheme="minorHAnsi" w:cstheme="minorHAnsi"/>
        </w:rPr>
        <w:t xml:space="preserve">to </w:t>
      </w:r>
      <w:r w:rsidRPr="00086596">
        <w:rPr>
          <w:rFonts w:asciiTheme="minorHAnsi" w:hAnsiTheme="minorHAnsi" w:cstheme="minorHAnsi"/>
        </w:rPr>
        <w:t>receive financial support.</w:t>
      </w:r>
      <w:r w:rsidR="00221215">
        <w:rPr>
          <w:rFonts w:asciiTheme="minorHAnsi" w:hAnsiTheme="minorHAnsi" w:cstheme="minorHAnsi"/>
        </w:rPr>
        <w:t xml:space="preserve"> </w:t>
      </w:r>
      <w:r w:rsidR="009E0A96">
        <w:rPr>
          <w:rFonts w:asciiTheme="minorHAnsi" w:hAnsiTheme="minorHAnsi" w:cstheme="minorHAnsi"/>
        </w:rPr>
        <w:t>T</w:t>
      </w:r>
      <w:r w:rsidR="009156C1">
        <w:rPr>
          <w:rFonts w:asciiTheme="minorHAnsi" w:hAnsiTheme="minorHAnsi" w:cstheme="minorHAnsi"/>
        </w:rPr>
        <w:t xml:space="preserve">his review led to the </w:t>
      </w:r>
      <w:r w:rsidR="00C0111D">
        <w:rPr>
          <w:rFonts w:asciiTheme="minorHAnsi" w:hAnsiTheme="minorHAnsi" w:cstheme="minorHAnsi"/>
        </w:rPr>
        <w:t xml:space="preserve">Impairment </w:t>
      </w:r>
      <w:r w:rsidR="009156C1">
        <w:rPr>
          <w:rFonts w:asciiTheme="minorHAnsi" w:hAnsiTheme="minorHAnsi" w:cstheme="minorHAnsi"/>
        </w:rPr>
        <w:t xml:space="preserve">Tables </w:t>
      </w:r>
      <w:r w:rsidR="00C0111D">
        <w:rPr>
          <w:rFonts w:asciiTheme="minorHAnsi" w:hAnsiTheme="minorHAnsi" w:cstheme="minorHAnsi"/>
        </w:rPr>
        <w:t xml:space="preserve">moving from a </w:t>
      </w:r>
      <w:r w:rsidR="009156C1">
        <w:rPr>
          <w:rFonts w:asciiTheme="minorHAnsi" w:hAnsiTheme="minorHAnsi" w:cstheme="minorHAnsi"/>
        </w:rPr>
        <w:t xml:space="preserve">diagnosis-based </w:t>
      </w:r>
      <w:r w:rsidR="00C0111D">
        <w:rPr>
          <w:rFonts w:asciiTheme="minorHAnsi" w:hAnsiTheme="minorHAnsi" w:cstheme="minorHAnsi"/>
        </w:rPr>
        <w:t xml:space="preserve">assessment to </w:t>
      </w:r>
      <w:r w:rsidR="009156C1">
        <w:rPr>
          <w:rFonts w:asciiTheme="minorHAnsi" w:hAnsiTheme="minorHAnsi" w:cstheme="minorHAnsi"/>
        </w:rPr>
        <w:t>a functional-based assessment of a person’s ability to work and reduced the number of tables from</w:t>
      </w:r>
      <w:r w:rsidR="00C0111D">
        <w:rPr>
          <w:rFonts w:asciiTheme="minorHAnsi" w:hAnsiTheme="minorHAnsi" w:cstheme="minorHAnsi"/>
        </w:rPr>
        <w:t xml:space="preserve"> </w:t>
      </w:r>
      <w:r w:rsidR="009156C1">
        <w:rPr>
          <w:rFonts w:asciiTheme="minorHAnsi" w:hAnsiTheme="minorHAnsi" w:cstheme="minorHAnsi"/>
        </w:rPr>
        <w:t>22 to 15.</w:t>
      </w:r>
    </w:p>
    <w:p w14:paraId="62D129C9" w14:textId="672B2261" w:rsidR="00DC0F92" w:rsidRPr="00086596" w:rsidRDefault="00304A8F" w:rsidP="00DC0F92">
      <w:pPr>
        <w:rPr>
          <w:rFonts w:asciiTheme="minorHAnsi" w:hAnsiTheme="minorHAnsi" w:cstheme="minorHAnsi"/>
        </w:rPr>
      </w:pPr>
      <w:r>
        <w:rPr>
          <w:rFonts w:asciiTheme="minorHAnsi" w:hAnsiTheme="minorHAnsi" w:cstheme="minorHAnsi"/>
        </w:rPr>
        <w:t>This</w:t>
      </w:r>
      <w:r w:rsidR="00DC0F92" w:rsidRPr="00086596">
        <w:rPr>
          <w:rFonts w:asciiTheme="minorHAnsi" w:hAnsiTheme="minorHAnsi" w:cstheme="minorHAnsi"/>
        </w:rPr>
        <w:t xml:space="preserve"> review of the tables will </w:t>
      </w:r>
      <w:r w:rsidR="004912CF">
        <w:rPr>
          <w:rFonts w:asciiTheme="minorHAnsi" w:hAnsiTheme="minorHAnsi" w:cstheme="minorHAnsi"/>
        </w:rPr>
        <w:t>not be the same sc</w:t>
      </w:r>
      <w:r w:rsidR="00A07896">
        <w:rPr>
          <w:rFonts w:asciiTheme="minorHAnsi" w:hAnsiTheme="minorHAnsi" w:cstheme="minorHAnsi"/>
        </w:rPr>
        <w:t xml:space="preserve">ale as the previous 2011 review as the current </w:t>
      </w:r>
      <w:r w:rsidR="00D93F21">
        <w:rPr>
          <w:rFonts w:asciiTheme="minorHAnsi" w:hAnsiTheme="minorHAnsi" w:cstheme="minorHAnsi"/>
        </w:rPr>
        <w:t xml:space="preserve">Impairment </w:t>
      </w:r>
      <w:r w:rsidR="00A07896">
        <w:rPr>
          <w:rFonts w:asciiTheme="minorHAnsi" w:hAnsiTheme="minorHAnsi" w:cstheme="minorHAnsi"/>
        </w:rPr>
        <w:t xml:space="preserve">Tables are the result of an extensive process, and appear to be functioning as expected. </w:t>
      </w:r>
      <w:r w:rsidR="00F357B2">
        <w:rPr>
          <w:rFonts w:asciiTheme="minorHAnsi" w:hAnsiTheme="minorHAnsi" w:cstheme="minorHAnsi"/>
        </w:rPr>
        <w:t>T</w:t>
      </w:r>
      <w:r w:rsidR="00EE3944">
        <w:rPr>
          <w:rFonts w:asciiTheme="minorHAnsi" w:hAnsiTheme="minorHAnsi" w:cstheme="minorHAnsi"/>
        </w:rPr>
        <w:t xml:space="preserve">he current structure of the </w:t>
      </w:r>
      <w:r w:rsidR="00D93F21">
        <w:rPr>
          <w:rFonts w:asciiTheme="minorHAnsi" w:hAnsiTheme="minorHAnsi" w:cstheme="minorHAnsi"/>
        </w:rPr>
        <w:t xml:space="preserve">Impairment </w:t>
      </w:r>
      <w:r w:rsidR="00EE3944">
        <w:rPr>
          <w:rFonts w:asciiTheme="minorHAnsi" w:hAnsiTheme="minorHAnsi" w:cstheme="minorHAnsi"/>
        </w:rPr>
        <w:t xml:space="preserve">Tables focuses on the ability of someone to engage in the labour market, rather than a condition they may have. </w:t>
      </w:r>
      <w:r w:rsidR="00A07896">
        <w:rPr>
          <w:rFonts w:asciiTheme="minorHAnsi" w:hAnsiTheme="minorHAnsi" w:cstheme="minorHAnsi"/>
        </w:rPr>
        <w:t>T</w:t>
      </w:r>
      <w:r w:rsidR="00B4668D" w:rsidRPr="00086596">
        <w:rPr>
          <w:rFonts w:asciiTheme="minorHAnsi" w:hAnsiTheme="minorHAnsi" w:cstheme="minorHAnsi"/>
        </w:rPr>
        <w:t>his review will focus on the functioning of the current Impairment Tables, in particular, consistency and</w:t>
      </w:r>
      <w:r w:rsidR="002D35A6">
        <w:rPr>
          <w:rFonts w:asciiTheme="minorHAnsi" w:hAnsiTheme="minorHAnsi" w:cstheme="minorHAnsi"/>
        </w:rPr>
        <w:t xml:space="preserve"> relevant advances in</w:t>
      </w:r>
      <w:r w:rsidR="00B4668D" w:rsidRPr="00086596">
        <w:rPr>
          <w:rFonts w:asciiTheme="minorHAnsi" w:hAnsiTheme="minorHAnsi" w:cstheme="minorHAnsi"/>
        </w:rPr>
        <w:t xml:space="preserve"> </w:t>
      </w:r>
      <w:r w:rsidR="00900E8D">
        <w:rPr>
          <w:rFonts w:asciiTheme="minorHAnsi" w:hAnsiTheme="minorHAnsi" w:cstheme="minorHAnsi"/>
        </w:rPr>
        <w:t xml:space="preserve">medical </w:t>
      </w:r>
      <w:r w:rsidR="00B4668D" w:rsidRPr="00086596">
        <w:rPr>
          <w:rFonts w:asciiTheme="minorHAnsi" w:hAnsiTheme="minorHAnsi" w:cstheme="minorHAnsi"/>
        </w:rPr>
        <w:t>technology</w:t>
      </w:r>
      <w:r w:rsidR="001021E6">
        <w:rPr>
          <w:rFonts w:asciiTheme="minorHAnsi" w:hAnsiTheme="minorHAnsi" w:cstheme="minorHAnsi"/>
        </w:rPr>
        <w:t xml:space="preserve"> and assessments</w:t>
      </w:r>
      <w:r w:rsidR="00900E8D">
        <w:rPr>
          <w:rFonts w:asciiTheme="minorHAnsi" w:hAnsiTheme="minorHAnsi" w:cstheme="minorHAnsi"/>
        </w:rPr>
        <w:t xml:space="preserve"> and </w:t>
      </w:r>
      <w:r w:rsidR="00900E8D" w:rsidRPr="00086596">
        <w:rPr>
          <w:rFonts w:asciiTheme="minorHAnsi" w:hAnsiTheme="minorHAnsi" w:cstheme="minorHAnsi"/>
        </w:rPr>
        <w:t xml:space="preserve">will include external consultation with </w:t>
      </w:r>
      <w:r w:rsidR="00EE3944">
        <w:rPr>
          <w:rFonts w:asciiTheme="minorHAnsi" w:hAnsiTheme="minorHAnsi" w:cstheme="minorHAnsi"/>
        </w:rPr>
        <w:t>stakeholders (stakeholders will include advocacy and</w:t>
      </w:r>
      <w:r w:rsidR="00900E8D" w:rsidRPr="00086596">
        <w:rPr>
          <w:rFonts w:asciiTheme="minorHAnsi" w:hAnsiTheme="minorHAnsi" w:cstheme="minorHAnsi"/>
        </w:rPr>
        <w:t xml:space="preserve"> welfare groups,</w:t>
      </w:r>
      <w:r w:rsidR="00EE3944">
        <w:rPr>
          <w:rFonts w:asciiTheme="minorHAnsi" w:hAnsiTheme="minorHAnsi" w:cstheme="minorHAnsi"/>
        </w:rPr>
        <w:t xml:space="preserve"> disability peak bodies</w:t>
      </w:r>
      <w:r w:rsidR="00900E8D" w:rsidRPr="00086596">
        <w:rPr>
          <w:rFonts w:asciiTheme="minorHAnsi" w:hAnsiTheme="minorHAnsi" w:cstheme="minorHAnsi"/>
        </w:rPr>
        <w:t xml:space="preserve"> and individuals</w:t>
      </w:r>
      <w:r w:rsidR="00EE3944">
        <w:rPr>
          <w:rFonts w:asciiTheme="minorHAnsi" w:hAnsiTheme="minorHAnsi" w:cstheme="minorHAnsi"/>
        </w:rPr>
        <w:t>)</w:t>
      </w:r>
      <w:r w:rsidR="00900E8D" w:rsidRPr="00086596">
        <w:rPr>
          <w:rFonts w:asciiTheme="minorHAnsi" w:hAnsiTheme="minorHAnsi" w:cstheme="minorHAnsi"/>
        </w:rPr>
        <w:t xml:space="preserve">.  </w:t>
      </w:r>
    </w:p>
    <w:p w14:paraId="2B40C2F2" w14:textId="0F8F95C7" w:rsidR="00384126" w:rsidRDefault="00F357B2" w:rsidP="00384126">
      <w:pPr>
        <w:rPr>
          <w:rFonts w:asciiTheme="minorHAnsi" w:hAnsiTheme="minorHAnsi" w:cstheme="minorHAnsi"/>
        </w:rPr>
      </w:pPr>
      <w:r>
        <w:rPr>
          <w:rFonts w:asciiTheme="minorHAnsi" w:hAnsiTheme="minorHAnsi" w:cstheme="minorHAnsi"/>
        </w:rPr>
        <w:t>T</w:t>
      </w:r>
      <w:r w:rsidR="00384126" w:rsidRPr="00086596">
        <w:rPr>
          <w:rFonts w:asciiTheme="minorHAnsi" w:hAnsiTheme="minorHAnsi" w:cstheme="minorHAnsi"/>
        </w:rPr>
        <w:t xml:space="preserve">he review will primarily focus on the Impairment Tables used for assessing </w:t>
      </w:r>
      <w:r w:rsidR="00814927">
        <w:rPr>
          <w:rFonts w:asciiTheme="minorHAnsi" w:hAnsiTheme="minorHAnsi" w:cstheme="minorHAnsi"/>
        </w:rPr>
        <w:t xml:space="preserve">medical eligibility </w:t>
      </w:r>
      <w:r w:rsidR="00384126" w:rsidRPr="00086596">
        <w:rPr>
          <w:rFonts w:asciiTheme="minorHAnsi" w:hAnsiTheme="minorHAnsi" w:cstheme="minorHAnsi"/>
        </w:rPr>
        <w:t>to DSP</w:t>
      </w:r>
      <w:r>
        <w:rPr>
          <w:rFonts w:asciiTheme="minorHAnsi" w:hAnsiTheme="minorHAnsi" w:cstheme="minorHAnsi"/>
        </w:rPr>
        <w:t>. Any</w:t>
      </w:r>
      <w:r w:rsidR="00384126" w:rsidRPr="00086596">
        <w:rPr>
          <w:rFonts w:asciiTheme="minorHAnsi" w:hAnsiTheme="minorHAnsi" w:cstheme="minorHAnsi"/>
        </w:rPr>
        <w:t xml:space="preserve"> other concerns</w:t>
      </w:r>
      <w:r>
        <w:rPr>
          <w:rFonts w:asciiTheme="minorHAnsi" w:hAnsiTheme="minorHAnsi" w:cstheme="minorHAnsi"/>
        </w:rPr>
        <w:t xml:space="preserve"> or issues raised </w:t>
      </w:r>
      <w:r w:rsidR="00384126" w:rsidRPr="00086596">
        <w:rPr>
          <w:rFonts w:asciiTheme="minorHAnsi" w:hAnsiTheme="minorHAnsi" w:cstheme="minorHAnsi"/>
        </w:rPr>
        <w:t>will be noted and considered in future policy work</w:t>
      </w:r>
      <w:r w:rsidR="00D54DC6">
        <w:rPr>
          <w:rFonts w:asciiTheme="minorHAnsi" w:hAnsiTheme="minorHAnsi" w:cstheme="minorHAnsi"/>
        </w:rPr>
        <w:t xml:space="preserve"> subject to Government decisions.</w:t>
      </w:r>
    </w:p>
    <w:p w14:paraId="1271AA5E" w14:textId="0B47100B" w:rsidR="009A0E4F" w:rsidRDefault="009A0E4F" w:rsidP="00384126">
      <w:pPr>
        <w:rPr>
          <w:rFonts w:asciiTheme="minorHAnsi" w:hAnsiTheme="minorHAnsi" w:cstheme="minorHAnsi"/>
        </w:rPr>
      </w:pPr>
    </w:p>
    <w:p w14:paraId="403F3F34" w14:textId="77777777" w:rsidR="009A0E4F" w:rsidRPr="00086596" w:rsidRDefault="009A0E4F" w:rsidP="00384126">
      <w:pPr>
        <w:rPr>
          <w:rFonts w:asciiTheme="minorHAnsi" w:hAnsiTheme="minorHAnsi" w:cstheme="minorHAnsi"/>
        </w:rPr>
      </w:pPr>
    </w:p>
    <w:p w14:paraId="008DF8D0" w14:textId="33190B89" w:rsidR="00304A8F" w:rsidRDefault="00304A8F" w:rsidP="00304A8F">
      <w:pPr>
        <w:pStyle w:val="Heading2"/>
      </w:pPr>
      <w:bookmarkStart w:id="6" w:name="_Toc73104277"/>
      <w:r>
        <w:lastRenderedPageBreak/>
        <w:t>Consultation Process</w:t>
      </w:r>
      <w:bookmarkEnd w:id="6"/>
    </w:p>
    <w:p w14:paraId="6E83926E" w14:textId="79DCA0EA" w:rsidR="00384126" w:rsidRPr="00086596" w:rsidRDefault="00384126" w:rsidP="00384126">
      <w:pPr>
        <w:rPr>
          <w:rFonts w:asciiTheme="minorHAnsi" w:hAnsiTheme="minorHAnsi" w:cstheme="minorHAnsi"/>
        </w:rPr>
      </w:pPr>
      <w:r w:rsidRPr="00086596">
        <w:rPr>
          <w:rFonts w:asciiTheme="minorHAnsi" w:hAnsiTheme="minorHAnsi" w:cstheme="minorHAnsi"/>
        </w:rPr>
        <w:t>To en</w:t>
      </w:r>
      <w:r w:rsidR="003044ED" w:rsidRPr="00086596">
        <w:rPr>
          <w:rFonts w:asciiTheme="minorHAnsi" w:hAnsiTheme="minorHAnsi" w:cstheme="minorHAnsi"/>
        </w:rPr>
        <w:t>able</w:t>
      </w:r>
      <w:r w:rsidRPr="00086596">
        <w:rPr>
          <w:rFonts w:asciiTheme="minorHAnsi" w:hAnsiTheme="minorHAnsi" w:cstheme="minorHAnsi"/>
        </w:rPr>
        <w:t xml:space="preserve"> as broad</w:t>
      </w:r>
      <w:r w:rsidR="003044ED" w:rsidRPr="00086596">
        <w:rPr>
          <w:rFonts w:asciiTheme="minorHAnsi" w:hAnsiTheme="minorHAnsi" w:cstheme="minorHAnsi"/>
        </w:rPr>
        <w:t xml:space="preserve"> a</w:t>
      </w:r>
      <w:r w:rsidRPr="00086596">
        <w:rPr>
          <w:rFonts w:asciiTheme="minorHAnsi" w:hAnsiTheme="minorHAnsi" w:cstheme="minorHAnsi"/>
        </w:rPr>
        <w:t xml:space="preserve"> participation </w:t>
      </w:r>
      <w:r w:rsidR="003A1D5C">
        <w:rPr>
          <w:rFonts w:asciiTheme="minorHAnsi" w:hAnsiTheme="minorHAnsi" w:cstheme="minorHAnsi"/>
        </w:rPr>
        <w:t xml:space="preserve">in the consultation </w:t>
      </w:r>
      <w:r w:rsidRPr="00086596">
        <w:rPr>
          <w:rFonts w:asciiTheme="minorHAnsi" w:hAnsiTheme="minorHAnsi" w:cstheme="minorHAnsi"/>
        </w:rPr>
        <w:t xml:space="preserve">as possible, the Department of Social Services </w:t>
      </w:r>
      <w:r w:rsidR="003A1D5C">
        <w:rPr>
          <w:rFonts w:asciiTheme="minorHAnsi" w:hAnsiTheme="minorHAnsi" w:cstheme="minorHAnsi"/>
        </w:rPr>
        <w:t xml:space="preserve">will be using the </w:t>
      </w:r>
      <w:r w:rsidRPr="00086596">
        <w:rPr>
          <w:rFonts w:asciiTheme="minorHAnsi" w:hAnsiTheme="minorHAnsi" w:cstheme="minorHAnsi"/>
        </w:rPr>
        <w:t xml:space="preserve">Engage website, </w:t>
      </w:r>
      <w:hyperlink r:id="rId15" w:history="1">
        <w:r w:rsidRPr="00086596">
          <w:rPr>
            <w:rStyle w:val="Hyperlink"/>
            <w:rFonts w:asciiTheme="minorHAnsi" w:hAnsiTheme="minorHAnsi" w:cstheme="minorHAnsi"/>
            <w:sz w:val="24"/>
          </w:rPr>
          <w:t>www.engage.dss.gov.au</w:t>
        </w:r>
      </w:hyperlink>
      <w:r w:rsidRPr="00086596">
        <w:rPr>
          <w:rFonts w:asciiTheme="minorHAnsi" w:hAnsiTheme="minorHAnsi" w:cstheme="minorHAnsi"/>
        </w:rPr>
        <w:t>.</w:t>
      </w:r>
      <w:r w:rsidR="00B5166E">
        <w:rPr>
          <w:rFonts w:asciiTheme="minorHAnsi" w:hAnsiTheme="minorHAnsi" w:cstheme="minorHAnsi"/>
        </w:rPr>
        <w:t xml:space="preserve"> </w:t>
      </w:r>
      <w:r w:rsidRPr="00086596">
        <w:rPr>
          <w:rFonts w:asciiTheme="minorHAnsi" w:hAnsiTheme="minorHAnsi" w:cstheme="minorHAnsi"/>
        </w:rPr>
        <w:t>Th</w:t>
      </w:r>
      <w:r w:rsidR="003A1D5C">
        <w:rPr>
          <w:rFonts w:asciiTheme="minorHAnsi" w:hAnsiTheme="minorHAnsi" w:cstheme="minorHAnsi"/>
        </w:rPr>
        <w:t>is</w:t>
      </w:r>
      <w:r w:rsidRPr="00086596">
        <w:rPr>
          <w:rFonts w:asciiTheme="minorHAnsi" w:hAnsiTheme="minorHAnsi" w:cstheme="minorHAnsi"/>
        </w:rPr>
        <w:t xml:space="preserve"> </w:t>
      </w:r>
      <w:r w:rsidR="00A943AF" w:rsidRPr="00086596">
        <w:rPr>
          <w:rFonts w:asciiTheme="minorHAnsi" w:hAnsiTheme="minorHAnsi" w:cstheme="minorHAnsi"/>
        </w:rPr>
        <w:t xml:space="preserve">dedicated consultation page will feature </w:t>
      </w:r>
      <w:r w:rsidR="0000642E">
        <w:rPr>
          <w:rFonts w:asciiTheme="minorHAnsi" w:hAnsiTheme="minorHAnsi" w:cstheme="minorHAnsi"/>
        </w:rPr>
        <w:t>this</w:t>
      </w:r>
      <w:r w:rsidR="00A943AF" w:rsidRPr="00086596">
        <w:rPr>
          <w:rFonts w:asciiTheme="minorHAnsi" w:hAnsiTheme="minorHAnsi" w:cstheme="minorHAnsi"/>
        </w:rPr>
        <w:t xml:space="preserve"> </w:t>
      </w:r>
      <w:r w:rsidR="003A1D5C">
        <w:rPr>
          <w:rFonts w:asciiTheme="minorHAnsi" w:hAnsiTheme="minorHAnsi" w:cstheme="minorHAnsi"/>
        </w:rPr>
        <w:t>issues</w:t>
      </w:r>
      <w:r w:rsidR="003A1D5C" w:rsidRPr="00086596">
        <w:rPr>
          <w:rFonts w:asciiTheme="minorHAnsi" w:hAnsiTheme="minorHAnsi" w:cstheme="minorHAnsi"/>
        </w:rPr>
        <w:t xml:space="preserve"> </w:t>
      </w:r>
      <w:r w:rsidRPr="00086596">
        <w:rPr>
          <w:rFonts w:asciiTheme="minorHAnsi" w:hAnsiTheme="minorHAnsi" w:cstheme="minorHAnsi"/>
        </w:rPr>
        <w:t>paper</w:t>
      </w:r>
      <w:r w:rsidR="00A943AF" w:rsidRPr="00086596">
        <w:rPr>
          <w:rFonts w:asciiTheme="minorHAnsi" w:hAnsiTheme="minorHAnsi" w:cstheme="minorHAnsi"/>
        </w:rPr>
        <w:t xml:space="preserve"> in </w:t>
      </w:r>
      <w:r w:rsidRPr="00086596">
        <w:rPr>
          <w:rFonts w:asciiTheme="minorHAnsi" w:hAnsiTheme="minorHAnsi" w:cstheme="minorHAnsi"/>
        </w:rPr>
        <w:t>various</w:t>
      </w:r>
      <w:r w:rsidR="00A943AF" w:rsidRPr="00086596">
        <w:rPr>
          <w:rFonts w:asciiTheme="minorHAnsi" w:hAnsiTheme="minorHAnsi" w:cstheme="minorHAnsi"/>
        </w:rPr>
        <w:t xml:space="preserve"> accessible</w:t>
      </w:r>
      <w:r w:rsidRPr="00086596">
        <w:rPr>
          <w:rFonts w:asciiTheme="minorHAnsi" w:hAnsiTheme="minorHAnsi" w:cstheme="minorHAnsi"/>
        </w:rPr>
        <w:t xml:space="preserve"> formats</w:t>
      </w:r>
      <w:r w:rsidR="00A943AF" w:rsidRPr="00086596">
        <w:rPr>
          <w:rFonts w:asciiTheme="minorHAnsi" w:hAnsiTheme="minorHAnsi" w:cstheme="minorHAnsi"/>
        </w:rPr>
        <w:t>, and provide the opportunity to participate in the review by lodging a written submission or through a guided questionnaire.</w:t>
      </w:r>
      <w:r w:rsidRPr="00086596">
        <w:rPr>
          <w:rFonts w:asciiTheme="minorHAnsi" w:hAnsiTheme="minorHAnsi" w:cstheme="minorHAnsi"/>
        </w:rPr>
        <w:t xml:space="preserve"> </w:t>
      </w:r>
    </w:p>
    <w:p w14:paraId="2AA7D240" w14:textId="7BABCDA2" w:rsidR="00384126" w:rsidRPr="00086596" w:rsidRDefault="00A943AF" w:rsidP="00384126">
      <w:pPr>
        <w:rPr>
          <w:rFonts w:asciiTheme="minorHAnsi" w:hAnsiTheme="minorHAnsi" w:cstheme="minorHAnsi"/>
        </w:rPr>
      </w:pPr>
      <w:r w:rsidRPr="00086596">
        <w:rPr>
          <w:rFonts w:asciiTheme="minorHAnsi" w:hAnsiTheme="minorHAnsi" w:cstheme="minorHAnsi"/>
        </w:rPr>
        <w:t>The</w:t>
      </w:r>
      <w:r w:rsidR="00384126" w:rsidRPr="00086596">
        <w:rPr>
          <w:rFonts w:asciiTheme="minorHAnsi" w:hAnsiTheme="minorHAnsi" w:cstheme="minorHAnsi"/>
        </w:rPr>
        <w:t xml:space="preserve"> guided questionnaire on the Engage website will include the following questions:</w:t>
      </w:r>
    </w:p>
    <w:p w14:paraId="03399BD9" w14:textId="77777777" w:rsidR="00384126" w:rsidRPr="00086596" w:rsidRDefault="00384126" w:rsidP="00384126">
      <w:pPr>
        <w:pStyle w:val="ListParagraph"/>
        <w:numPr>
          <w:ilvl w:val="0"/>
          <w:numId w:val="4"/>
        </w:numPr>
        <w:spacing w:before="0" w:after="200" w:line="276" w:lineRule="auto"/>
        <w:ind w:left="357"/>
        <w:rPr>
          <w:rFonts w:asciiTheme="minorHAnsi" w:hAnsiTheme="minorHAnsi" w:cstheme="minorHAnsi"/>
        </w:rPr>
      </w:pPr>
      <w:r w:rsidRPr="00086596">
        <w:rPr>
          <w:rFonts w:asciiTheme="minorHAnsi" w:hAnsiTheme="minorHAnsi" w:cstheme="minorHAnsi"/>
        </w:rPr>
        <w:t>What aspects of the current Impairment Tables do you feel work well and why?</w:t>
      </w:r>
    </w:p>
    <w:p w14:paraId="541C88F5" w14:textId="77777777" w:rsidR="00384126" w:rsidRPr="00086596" w:rsidRDefault="00384126" w:rsidP="00384126">
      <w:pPr>
        <w:pStyle w:val="ListParagraph"/>
        <w:ind w:left="357"/>
        <w:rPr>
          <w:rFonts w:asciiTheme="minorHAnsi" w:hAnsiTheme="minorHAnsi" w:cstheme="minorHAnsi"/>
        </w:rPr>
      </w:pPr>
    </w:p>
    <w:p w14:paraId="65BEF087" w14:textId="77777777" w:rsidR="00384126" w:rsidRPr="00086596" w:rsidRDefault="00384126" w:rsidP="00384126">
      <w:pPr>
        <w:pStyle w:val="ListParagraph"/>
        <w:numPr>
          <w:ilvl w:val="0"/>
          <w:numId w:val="4"/>
        </w:numPr>
        <w:spacing w:before="0" w:after="200" w:line="276" w:lineRule="auto"/>
        <w:ind w:left="357"/>
        <w:rPr>
          <w:rFonts w:asciiTheme="minorHAnsi" w:hAnsiTheme="minorHAnsi" w:cstheme="minorHAnsi"/>
        </w:rPr>
      </w:pPr>
      <w:r w:rsidRPr="00086596">
        <w:rPr>
          <w:rFonts w:asciiTheme="minorHAnsi" w:hAnsiTheme="minorHAnsi" w:cstheme="minorHAnsi"/>
        </w:rPr>
        <w:t>What aspects of the current Impairment Tables do you feel require improvement and why?</w:t>
      </w:r>
    </w:p>
    <w:p w14:paraId="691E4D7F" w14:textId="77777777" w:rsidR="00384126" w:rsidRPr="00086596" w:rsidRDefault="00384126" w:rsidP="00384126">
      <w:pPr>
        <w:pStyle w:val="ListParagraph"/>
        <w:ind w:left="357"/>
        <w:rPr>
          <w:rFonts w:asciiTheme="minorHAnsi" w:hAnsiTheme="minorHAnsi" w:cstheme="minorHAnsi"/>
        </w:rPr>
      </w:pPr>
    </w:p>
    <w:p w14:paraId="4A8FF4E7" w14:textId="23DF5F58" w:rsidR="00384126" w:rsidRPr="00086596" w:rsidRDefault="00384126" w:rsidP="00384126">
      <w:pPr>
        <w:pStyle w:val="ListParagraph"/>
        <w:numPr>
          <w:ilvl w:val="0"/>
          <w:numId w:val="4"/>
        </w:numPr>
        <w:spacing w:before="0" w:after="200" w:line="276" w:lineRule="auto"/>
        <w:ind w:left="357" w:hanging="357"/>
        <w:rPr>
          <w:rFonts w:asciiTheme="minorHAnsi" w:hAnsiTheme="minorHAnsi" w:cstheme="minorHAnsi"/>
        </w:rPr>
      </w:pPr>
      <w:r w:rsidRPr="00086596">
        <w:rPr>
          <w:rFonts w:asciiTheme="minorHAnsi" w:hAnsiTheme="minorHAnsi" w:cstheme="minorHAnsi"/>
        </w:rPr>
        <w:t xml:space="preserve">Is there any specific </w:t>
      </w:r>
      <w:r w:rsidR="00D304CF">
        <w:rPr>
          <w:rFonts w:asciiTheme="minorHAnsi" w:hAnsiTheme="minorHAnsi" w:cstheme="minorHAnsi"/>
        </w:rPr>
        <w:t>t</w:t>
      </w:r>
      <w:r w:rsidRPr="00086596">
        <w:rPr>
          <w:rFonts w:asciiTheme="minorHAnsi" w:hAnsiTheme="minorHAnsi" w:cstheme="minorHAnsi"/>
        </w:rPr>
        <w:t xml:space="preserve">able you feel requires a greater level of </w:t>
      </w:r>
      <w:r w:rsidR="00791CD2">
        <w:rPr>
          <w:rFonts w:asciiTheme="minorHAnsi" w:hAnsiTheme="minorHAnsi" w:cstheme="minorHAnsi"/>
        </w:rPr>
        <w:t>analysis</w:t>
      </w:r>
      <w:r w:rsidR="00791CD2" w:rsidRPr="00086596">
        <w:rPr>
          <w:rFonts w:asciiTheme="minorHAnsi" w:hAnsiTheme="minorHAnsi" w:cstheme="minorHAnsi"/>
        </w:rPr>
        <w:t xml:space="preserve"> </w:t>
      </w:r>
      <w:r w:rsidRPr="00086596">
        <w:rPr>
          <w:rFonts w:asciiTheme="minorHAnsi" w:hAnsiTheme="minorHAnsi" w:cstheme="minorHAnsi"/>
        </w:rPr>
        <w:t xml:space="preserve">and </w:t>
      </w:r>
      <w:r w:rsidRPr="00086596">
        <w:rPr>
          <w:rFonts w:asciiTheme="minorHAnsi" w:hAnsiTheme="minorHAnsi" w:cstheme="minorHAnsi"/>
        </w:rPr>
        <w:br/>
        <w:t>possible re-wording? If so, which one and why?</w:t>
      </w:r>
    </w:p>
    <w:p w14:paraId="0FB30DC0" w14:textId="77777777" w:rsidR="00384126" w:rsidRPr="00086596" w:rsidRDefault="00384126" w:rsidP="00384126">
      <w:pPr>
        <w:pStyle w:val="ListParagraph"/>
        <w:rPr>
          <w:rFonts w:asciiTheme="minorHAnsi" w:hAnsiTheme="minorHAnsi" w:cstheme="minorHAnsi"/>
        </w:rPr>
      </w:pPr>
    </w:p>
    <w:p w14:paraId="63232B55" w14:textId="69934BC9" w:rsidR="00384126" w:rsidRPr="00086596" w:rsidRDefault="00384126" w:rsidP="00384126">
      <w:pPr>
        <w:pStyle w:val="ListParagraph"/>
        <w:numPr>
          <w:ilvl w:val="0"/>
          <w:numId w:val="4"/>
        </w:numPr>
        <w:spacing w:before="0" w:after="200" w:line="276" w:lineRule="auto"/>
        <w:ind w:left="357" w:hanging="357"/>
        <w:rPr>
          <w:rFonts w:asciiTheme="minorHAnsi" w:hAnsiTheme="minorHAnsi" w:cstheme="minorHAnsi"/>
        </w:rPr>
      </w:pPr>
      <w:r w:rsidRPr="00086596">
        <w:rPr>
          <w:rFonts w:asciiTheme="minorHAnsi" w:hAnsiTheme="minorHAnsi" w:cstheme="minorHAnsi"/>
        </w:rPr>
        <w:t xml:space="preserve">What changes do you think would improve clarity and ease of interpretation in the application of the </w:t>
      </w:r>
      <w:r w:rsidR="00DF04DC" w:rsidRPr="00086596">
        <w:rPr>
          <w:rFonts w:asciiTheme="minorHAnsi" w:hAnsiTheme="minorHAnsi" w:cstheme="minorHAnsi"/>
        </w:rPr>
        <w:t xml:space="preserve">Impairment </w:t>
      </w:r>
      <w:r w:rsidRPr="00086596">
        <w:rPr>
          <w:rFonts w:asciiTheme="minorHAnsi" w:hAnsiTheme="minorHAnsi" w:cstheme="minorHAnsi"/>
        </w:rPr>
        <w:t>Tables for the purposes of a DSP claim?</w:t>
      </w:r>
    </w:p>
    <w:p w14:paraId="574238A4" w14:textId="77777777" w:rsidR="00384126" w:rsidRPr="00086596" w:rsidRDefault="00384126" w:rsidP="00384126">
      <w:pPr>
        <w:pStyle w:val="ListParagraph"/>
        <w:ind w:left="357"/>
        <w:rPr>
          <w:rFonts w:asciiTheme="minorHAnsi" w:hAnsiTheme="minorHAnsi" w:cstheme="minorHAnsi"/>
        </w:rPr>
      </w:pPr>
    </w:p>
    <w:p w14:paraId="337BB414" w14:textId="18065E63" w:rsidR="00384126" w:rsidRPr="00EB20D2" w:rsidRDefault="00384126" w:rsidP="00EB20D2">
      <w:pPr>
        <w:pStyle w:val="ListParagraph"/>
        <w:numPr>
          <w:ilvl w:val="0"/>
          <w:numId w:val="4"/>
        </w:numPr>
        <w:spacing w:before="0" w:after="200" w:line="276" w:lineRule="auto"/>
        <w:ind w:left="357" w:hanging="357"/>
        <w:rPr>
          <w:rFonts w:asciiTheme="minorHAnsi" w:hAnsiTheme="minorHAnsi" w:cstheme="minorHAnsi"/>
        </w:rPr>
      </w:pPr>
      <w:r w:rsidRPr="00EB20D2">
        <w:rPr>
          <w:rFonts w:asciiTheme="minorHAnsi" w:hAnsiTheme="minorHAnsi" w:cstheme="minorHAnsi"/>
        </w:rPr>
        <w:t xml:space="preserve">Although the </w:t>
      </w:r>
      <w:r w:rsidR="00DF04DC" w:rsidRPr="00086596">
        <w:rPr>
          <w:rFonts w:asciiTheme="minorHAnsi" w:hAnsiTheme="minorHAnsi" w:cstheme="minorHAnsi"/>
        </w:rPr>
        <w:t xml:space="preserve">Impairment </w:t>
      </w:r>
      <w:r w:rsidRPr="00EB20D2">
        <w:rPr>
          <w:rFonts w:asciiTheme="minorHAnsi" w:hAnsiTheme="minorHAnsi" w:cstheme="minorHAnsi"/>
        </w:rPr>
        <w:t xml:space="preserve">Tables are function based rather than condition based, are there specific impairments/conditions you think are not given due consideration within the existing 15 </w:t>
      </w:r>
      <w:r w:rsidR="00D304CF">
        <w:rPr>
          <w:rFonts w:asciiTheme="minorHAnsi" w:hAnsiTheme="minorHAnsi" w:cstheme="minorHAnsi"/>
        </w:rPr>
        <w:t>t</w:t>
      </w:r>
      <w:r w:rsidRPr="00EB20D2">
        <w:rPr>
          <w:rFonts w:asciiTheme="minorHAnsi" w:hAnsiTheme="minorHAnsi" w:cstheme="minorHAnsi"/>
        </w:rPr>
        <w:t>ables?</w:t>
      </w:r>
      <w:r w:rsidR="00BC5E9D">
        <w:rPr>
          <w:rFonts w:asciiTheme="minorHAnsi" w:hAnsiTheme="minorHAnsi" w:cstheme="minorHAnsi"/>
        </w:rPr>
        <w:br/>
      </w:r>
    </w:p>
    <w:p w14:paraId="2BB8401A" w14:textId="656BD95C" w:rsidR="00384126" w:rsidRPr="00086596" w:rsidRDefault="0000642E" w:rsidP="00384126">
      <w:pPr>
        <w:pStyle w:val="ListParagraph"/>
        <w:numPr>
          <w:ilvl w:val="0"/>
          <w:numId w:val="4"/>
        </w:numPr>
        <w:spacing w:before="0" w:after="200" w:line="276" w:lineRule="auto"/>
        <w:ind w:left="357" w:hanging="357"/>
        <w:rPr>
          <w:rFonts w:asciiTheme="minorHAnsi" w:hAnsiTheme="minorHAnsi" w:cstheme="minorHAnsi"/>
        </w:rPr>
      </w:pPr>
      <w:r>
        <w:rPr>
          <w:rFonts w:asciiTheme="minorHAnsi" w:hAnsiTheme="minorHAnsi" w:cstheme="minorHAnsi"/>
        </w:rPr>
        <w:t>What other issues</w:t>
      </w:r>
      <w:r w:rsidR="00384126" w:rsidRPr="00086596">
        <w:rPr>
          <w:rFonts w:asciiTheme="minorHAnsi" w:hAnsiTheme="minorHAnsi" w:cstheme="minorHAnsi"/>
        </w:rPr>
        <w:t xml:space="preserve"> on the Impairment Tables</w:t>
      </w:r>
      <w:r>
        <w:rPr>
          <w:rFonts w:asciiTheme="minorHAnsi" w:hAnsiTheme="minorHAnsi" w:cstheme="minorHAnsi"/>
        </w:rPr>
        <w:t xml:space="preserve"> would you like to raise</w:t>
      </w:r>
      <w:r w:rsidR="00384126" w:rsidRPr="00086596">
        <w:rPr>
          <w:rFonts w:asciiTheme="minorHAnsi" w:hAnsiTheme="minorHAnsi" w:cstheme="minorHAnsi"/>
        </w:rPr>
        <w:t>?</w:t>
      </w:r>
    </w:p>
    <w:p w14:paraId="5680014E" w14:textId="77777777" w:rsidR="00384126" w:rsidRPr="00086596" w:rsidRDefault="00384126" w:rsidP="00384126">
      <w:pPr>
        <w:pStyle w:val="ListParagraph"/>
        <w:rPr>
          <w:rFonts w:asciiTheme="minorHAnsi" w:hAnsiTheme="minorHAnsi" w:cstheme="minorHAnsi"/>
        </w:rPr>
      </w:pPr>
    </w:p>
    <w:p w14:paraId="4422B30B" w14:textId="337FB2B2" w:rsidR="00A4528E" w:rsidRPr="00304A8F" w:rsidRDefault="0000642E" w:rsidP="00304A8F">
      <w:pPr>
        <w:pStyle w:val="ListParagraph"/>
        <w:numPr>
          <w:ilvl w:val="0"/>
          <w:numId w:val="4"/>
        </w:numPr>
        <w:spacing w:before="0" w:after="200" w:line="276" w:lineRule="auto"/>
        <w:ind w:left="357" w:hanging="357"/>
        <w:rPr>
          <w:rFonts w:asciiTheme="minorHAnsi" w:hAnsiTheme="minorHAnsi" w:cstheme="minorHAnsi"/>
        </w:rPr>
      </w:pPr>
      <w:r w:rsidRPr="00304A8F">
        <w:rPr>
          <w:rFonts w:asciiTheme="minorHAnsi" w:hAnsiTheme="minorHAnsi" w:cstheme="minorHAnsi"/>
        </w:rPr>
        <w:t xml:space="preserve">Are there any other comments you would like to add? </w:t>
      </w:r>
      <w:r w:rsidR="00C53102">
        <w:rPr>
          <w:rFonts w:asciiTheme="minorHAnsi" w:hAnsiTheme="minorHAnsi" w:cstheme="minorHAnsi"/>
        </w:rPr>
        <w:br/>
      </w:r>
    </w:p>
    <w:p w14:paraId="596DBFFA" w14:textId="77777777" w:rsidR="00462138" w:rsidRDefault="00462138">
      <w:pPr>
        <w:spacing w:before="0" w:after="200" w:line="276" w:lineRule="auto"/>
        <w:rPr>
          <w:rFonts w:ascii="Georgia" w:eastAsiaTheme="majorEastAsia" w:hAnsi="Georgia" w:cstheme="majorBidi"/>
          <w:bCs/>
          <w:color w:val="005A70"/>
          <w:sz w:val="32"/>
          <w:szCs w:val="26"/>
        </w:rPr>
      </w:pPr>
      <w:bookmarkStart w:id="7" w:name="_Toc73104278"/>
      <w:r>
        <w:br w:type="page"/>
      </w:r>
    </w:p>
    <w:p w14:paraId="1EEBAAEA" w14:textId="77141B71" w:rsidR="00A4528E" w:rsidRPr="00EB20D2" w:rsidRDefault="00A4528E" w:rsidP="00A4528E">
      <w:pPr>
        <w:pStyle w:val="Heading2"/>
      </w:pPr>
      <w:r w:rsidRPr="00EB20D2">
        <w:lastRenderedPageBreak/>
        <w:t>DSP Trends</w:t>
      </w:r>
      <w:bookmarkEnd w:id="7"/>
    </w:p>
    <w:p w14:paraId="5587D142" w14:textId="18CB9533" w:rsidR="009709AB" w:rsidRPr="009709AB" w:rsidRDefault="009709AB" w:rsidP="009709AB">
      <w:r w:rsidRPr="009709AB">
        <w:t xml:space="preserve">The following section provides a glimpse of data trends for DSP since the introduction of the current </w:t>
      </w:r>
      <w:r w:rsidR="00084051">
        <w:rPr>
          <w:rFonts w:asciiTheme="minorHAnsi" w:hAnsiTheme="minorHAnsi" w:cstheme="minorHAnsi"/>
        </w:rPr>
        <w:t xml:space="preserve">Impairment </w:t>
      </w:r>
      <w:r w:rsidRPr="009709AB">
        <w:t xml:space="preserve">Tables. </w:t>
      </w:r>
    </w:p>
    <w:p w14:paraId="1CEE8F71" w14:textId="079E40DB" w:rsidR="00A4528E" w:rsidRPr="009709AB" w:rsidRDefault="00397B4D" w:rsidP="00A4528E">
      <w:pPr>
        <w:rPr>
          <w:b/>
        </w:rPr>
      </w:pPr>
      <w:r w:rsidRPr="009709AB">
        <w:rPr>
          <w:b/>
        </w:rPr>
        <w:t xml:space="preserve">Expenditure </w:t>
      </w:r>
    </w:p>
    <w:tbl>
      <w:tblPr>
        <w:tblStyle w:val="GridTable5Dark-Accent1"/>
        <w:tblW w:w="9891" w:type="dxa"/>
        <w:tblLook w:val="04A0" w:firstRow="1" w:lastRow="0" w:firstColumn="1" w:lastColumn="0" w:noHBand="0" w:noVBand="1"/>
        <w:tblDescription w:val="Expenditure"/>
      </w:tblPr>
      <w:tblGrid>
        <w:gridCol w:w="1647"/>
        <w:gridCol w:w="1112"/>
        <w:gridCol w:w="1112"/>
        <w:gridCol w:w="1112"/>
        <w:gridCol w:w="1112"/>
        <w:gridCol w:w="1112"/>
        <w:gridCol w:w="1112"/>
        <w:gridCol w:w="1112"/>
        <w:gridCol w:w="1112"/>
      </w:tblGrid>
      <w:tr w:rsidR="00360793" w14:paraId="087C08AB" w14:textId="77777777" w:rsidTr="005B7D4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31" w:type="dxa"/>
          </w:tcPr>
          <w:p w14:paraId="2A5DA0CC" w14:textId="4ED5A5CD" w:rsidR="005C302E" w:rsidRPr="00AD1D52" w:rsidRDefault="005C302E" w:rsidP="00A4528E">
            <w:pPr>
              <w:rPr>
                <w:highlight w:val="yellow"/>
              </w:rPr>
            </w:pPr>
            <w:r w:rsidRPr="00AD1D52">
              <w:t>Financial Year</w:t>
            </w:r>
          </w:p>
        </w:tc>
        <w:tc>
          <w:tcPr>
            <w:tcW w:w="1020" w:type="dxa"/>
          </w:tcPr>
          <w:p w14:paraId="64EE691B" w14:textId="1CCFD0BC" w:rsidR="005C302E" w:rsidRPr="00AD1D52" w:rsidRDefault="005C302E" w:rsidP="00102361">
            <w:pPr>
              <w:cnfStyle w:val="100000000000" w:firstRow="1" w:lastRow="0" w:firstColumn="0" w:lastColumn="0" w:oddVBand="0" w:evenVBand="0" w:oddHBand="0" w:evenHBand="0" w:firstRowFirstColumn="0" w:firstRowLastColumn="0" w:lastRowFirstColumn="0" w:lastRowLastColumn="0"/>
              <w:rPr>
                <w:highlight w:val="yellow"/>
              </w:rPr>
            </w:pPr>
            <w:r w:rsidRPr="00AD1D52">
              <w:t>2012</w:t>
            </w:r>
            <w:r w:rsidR="00102361">
              <w:t>/</w:t>
            </w:r>
            <w:r w:rsidRPr="00AD1D52">
              <w:t>13</w:t>
            </w:r>
          </w:p>
        </w:tc>
        <w:tc>
          <w:tcPr>
            <w:tcW w:w="1020" w:type="dxa"/>
          </w:tcPr>
          <w:p w14:paraId="29431716" w14:textId="68755BC5" w:rsidR="005C302E" w:rsidRPr="00AD1D52" w:rsidRDefault="005C302E" w:rsidP="00A4528E">
            <w:pPr>
              <w:cnfStyle w:val="100000000000" w:firstRow="1" w:lastRow="0" w:firstColumn="0" w:lastColumn="0" w:oddVBand="0" w:evenVBand="0" w:oddHBand="0" w:evenHBand="0" w:firstRowFirstColumn="0" w:firstRowLastColumn="0" w:lastRowFirstColumn="0" w:lastRowLastColumn="0"/>
              <w:rPr>
                <w:highlight w:val="yellow"/>
              </w:rPr>
            </w:pPr>
            <w:r w:rsidRPr="00AD1D52">
              <w:t>2013/14</w:t>
            </w:r>
          </w:p>
        </w:tc>
        <w:tc>
          <w:tcPr>
            <w:tcW w:w="1020" w:type="dxa"/>
          </w:tcPr>
          <w:p w14:paraId="0DD97E83" w14:textId="3B95E3F9" w:rsidR="005C302E" w:rsidRPr="00AD1D52" w:rsidRDefault="005C302E" w:rsidP="005C302E">
            <w:pPr>
              <w:cnfStyle w:val="100000000000" w:firstRow="1" w:lastRow="0" w:firstColumn="0" w:lastColumn="0" w:oddVBand="0" w:evenVBand="0" w:oddHBand="0" w:evenHBand="0" w:firstRowFirstColumn="0" w:firstRowLastColumn="0" w:lastRowFirstColumn="0" w:lastRowLastColumn="0"/>
              <w:rPr>
                <w:highlight w:val="yellow"/>
              </w:rPr>
            </w:pPr>
            <w:r w:rsidRPr="00AD1D52">
              <w:t>2014/15</w:t>
            </w:r>
          </w:p>
        </w:tc>
        <w:tc>
          <w:tcPr>
            <w:tcW w:w="1020" w:type="dxa"/>
          </w:tcPr>
          <w:p w14:paraId="6BD7210F" w14:textId="706DFED1" w:rsidR="005C302E" w:rsidRPr="00AD1D52" w:rsidRDefault="005C302E" w:rsidP="005C302E">
            <w:pPr>
              <w:cnfStyle w:val="100000000000" w:firstRow="1" w:lastRow="0" w:firstColumn="0" w:lastColumn="0" w:oddVBand="0" w:evenVBand="0" w:oddHBand="0" w:evenHBand="0" w:firstRowFirstColumn="0" w:firstRowLastColumn="0" w:lastRowFirstColumn="0" w:lastRowLastColumn="0"/>
              <w:rPr>
                <w:highlight w:val="yellow"/>
              </w:rPr>
            </w:pPr>
            <w:r w:rsidRPr="00AD1D52">
              <w:t>2015/16</w:t>
            </w:r>
          </w:p>
        </w:tc>
        <w:tc>
          <w:tcPr>
            <w:tcW w:w="1020" w:type="dxa"/>
          </w:tcPr>
          <w:p w14:paraId="371C2281" w14:textId="6B97BE7D" w:rsidR="005C302E" w:rsidRPr="00AD1D52" w:rsidRDefault="005C302E" w:rsidP="005C302E">
            <w:pPr>
              <w:cnfStyle w:val="100000000000" w:firstRow="1" w:lastRow="0" w:firstColumn="0" w:lastColumn="0" w:oddVBand="0" w:evenVBand="0" w:oddHBand="0" w:evenHBand="0" w:firstRowFirstColumn="0" w:firstRowLastColumn="0" w:lastRowFirstColumn="0" w:lastRowLastColumn="0"/>
              <w:rPr>
                <w:highlight w:val="yellow"/>
              </w:rPr>
            </w:pPr>
            <w:r w:rsidRPr="00AD1D52">
              <w:t>2016/17</w:t>
            </w:r>
          </w:p>
        </w:tc>
        <w:tc>
          <w:tcPr>
            <w:tcW w:w="1020" w:type="dxa"/>
          </w:tcPr>
          <w:p w14:paraId="4D6471A0" w14:textId="20158EF5" w:rsidR="005C302E" w:rsidRPr="00AD1D52" w:rsidRDefault="005C302E" w:rsidP="005C302E">
            <w:pPr>
              <w:cnfStyle w:val="100000000000" w:firstRow="1" w:lastRow="0" w:firstColumn="0" w:lastColumn="0" w:oddVBand="0" w:evenVBand="0" w:oddHBand="0" w:evenHBand="0" w:firstRowFirstColumn="0" w:firstRowLastColumn="0" w:lastRowFirstColumn="0" w:lastRowLastColumn="0"/>
              <w:rPr>
                <w:highlight w:val="yellow"/>
              </w:rPr>
            </w:pPr>
            <w:r w:rsidRPr="00AD1D52">
              <w:t>2017/18</w:t>
            </w:r>
          </w:p>
        </w:tc>
        <w:tc>
          <w:tcPr>
            <w:tcW w:w="1020" w:type="dxa"/>
          </w:tcPr>
          <w:p w14:paraId="2167DAE6" w14:textId="4AE50AFC" w:rsidR="005C302E" w:rsidRPr="00AD1D52" w:rsidRDefault="005C302E" w:rsidP="005C302E">
            <w:pPr>
              <w:cnfStyle w:val="100000000000" w:firstRow="1" w:lastRow="0" w:firstColumn="0" w:lastColumn="0" w:oddVBand="0" w:evenVBand="0" w:oddHBand="0" w:evenHBand="0" w:firstRowFirstColumn="0" w:firstRowLastColumn="0" w:lastRowFirstColumn="0" w:lastRowLastColumn="0"/>
              <w:rPr>
                <w:highlight w:val="yellow"/>
              </w:rPr>
            </w:pPr>
            <w:r w:rsidRPr="00AD1D52">
              <w:t>2018/19</w:t>
            </w:r>
          </w:p>
        </w:tc>
        <w:tc>
          <w:tcPr>
            <w:tcW w:w="1020" w:type="dxa"/>
          </w:tcPr>
          <w:p w14:paraId="28455FE1" w14:textId="33BB51A2" w:rsidR="005C302E" w:rsidRPr="00AD1D52" w:rsidRDefault="005C302E" w:rsidP="005C302E">
            <w:pPr>
              <w:cnfStyle w:val="100000000000" w:firstRow="1" w:lastRow="0" w:firstColumn="0" w:lastColumn="0" w:oddVBand="0" w:evenVBand="0" w:oddHBand="0" w:evenHBand="0" w:firstRowFirstColumn="0" w:firstRowLastColumn="0" w:lastRowFirstColumn="0" w:lastRowLastColumn="0"/>
              <w:rPr>
                <w:highlight w:val="yellow"/>
              </w:rPr>
            </w:pPr>
            <w:r w:rsidRPr="00AD1D52">
              <w:t>2019/20</w:t>
            </w:r>
          </w:p>
        </w:tc>
      </w:tr>
      <w:tr w:rsidR="00360793" w14:paraId="3EEAF9DC" w14:textId="77777777" w:rsidTr="008F3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tcPr>
          <w:p w14:paraId="19653801" w14:textId="7544796F" w:rsidR="005C302E" w:rsidRPr="00AD1D52" w:rsidRDefault="005C302E" w:rsidP="005C302E">
            <w:pPr>
              <w:rPr>
                <w:highlight w:val="yellow"/>
              </w:rPr>
            </w:pPr>
            <w:r w:rsidRPr="00AD1D52">
              <w:t>Expenditure ($b)</w:t>
            </w:r>
          </w:p>
        </w:tc>
        <w:tc>
          <w:tcPr>
            <w:tcW w:w="1020" w:type="dxa"/>
            <w:vAlign w:val="center"/>
          </w:tcPr>
          <w:p w14:paraId="5B223476" w14:textId="713A3A5D" w:rsidR="005C302E" w:rsidRPr="00AD1D52" w:rsidRDefault="005C302E" w:rsidP="008F3442">
            <w:pPr>
              <w:jc w:val="center"/>
              <w:cnfStyle w:val="000000100000" w:firstRow="0" w:lastRow="0" w:firstColumn="0" w:lastColumn="0" w:oddVBand="0" w:evenVBand="0" w:oddHBand="1" w:evenHBand="0" w:firstRowFirstColumn="0" w:firstRowLastColumn="0" w:lastRowFirstColumn="0" w:lastRowLastColumn="0"/>
              <w:rPr>
                <w:highlight w:val="yellow"/>
              </w:rPr>
            </w:pPr>
            <w:r w:rsidRPr="00AD1D52">
              <w:t>$</w:t>
            </w:r>
            <w:r w:rsidR="002D2D56" w:rsidRPr="00AD1D52">
              <w:t>15.0</w:t>
            </w:r>
          </w:p>
        </w:tc>
        <w:tc>
          <w:tcPr>
            <w:tcW w:w="1020" w:type="dxa"/>
            <w:vAlign w:val="center"/>
          </w:tcPr>
          <w:p w14:paraId="4A437240" w14:textId="4A14F49A" w:rsidR="005C302E" w:rsidRPr="00AD1D52" w:rsidRDefault="005C302E" w:rsidP="008F3442">
            <w:pPr>
              <w:jc w:val="center"/>
              <w:cnfStyle w:val="000000100000" w:firstRow="0" w:lastRow="0" w:firstColumn="0" w:lastColumn="0" w:oddVBand="0" w:evenVBand="0" w:oddHBand="1" w:evenHBand="0" w:firstRowFirstColumn="0" w:firstRowLastColumn="0" w:lastRowFirstColumn="0" w:lastRowLastColumn="0"/>
              <w:rPr>
                <w:highlight w:val="yellow"/>
              </w:rPr>
            </w:pPr>
            <w:r w:rsidRPr="00AD1D52">
              <w:t>$16.1</w:t>
            </w:r>
          </w:p>
        </w:tc>
        <w:tc>
          <w:tcPr>
            <w:tcW w:w="1020" w:type="dxa"/>
            <w:vAlign w:val="center"/>
          </w:tcPr>
          <w:p w14:paraId="1882E3DC" w14:textId="0153F1A7" w:rsidR="005C302E" w:rsidRPr="00AD1D52" w:rsidRDefault="005C302E" w:rsidP="008F3442">
            <w:pPr>
              <w:jc w:val="center"/>
              <w:cnfStyle w:val="000000100000" w:firstRow="0" w:lastRow="0" w:firstColumn="0" w:lastColumn="0" w:oddVBand="0" w:evenVBand="0" w:oddHBand="1" w:evenHBand="0" w:firstRowFirstColumn="0" w:firstRowLastColumn="0" w:lastRowFirstColumn="0" w:lastRowLastColumn="0"/>
              <w:rPr>
                <w:highlight w:val="yellow"/>
              </w:rPr>
            </w:pPr>
            <w:r w:rsidRPr="00AD1D52">
              <w:t>$16.5</w:t>
            </w:r>
          </w:p>
        </w:tc>
        <w:tc>
          <w:tcPr>
            <w:tcW w:w="1020" w:type="dxa"/>
            <w:vAlign w:val="center"/>
          </w:tcPr>
          <w:p w14:paraId="706C23E5" w14:textId="434ADFA5" w:rsidR="005C302E" w:rsidRPr="00AD1D52" w:rsidRDefault="005C302E" w:rsidP="008F3442">
            <w:pPr>
              <w:jc w:val="center"/>
              <w:cnfStyle w:val="000000100000" w:firstRow="0" w:lastRow="0" w:firstColumn="0" w:lastColumn="0" w:oddVBand="0" w:evenVBand="0" w:oddHBand="1" w:evenHBand="0" w:firstRowFirstColumn="0" w:firstRowLastColumn="0" w:lastRowFirstColumn="0" w:lastRowLastColumn="0"/>
              <w:rPr>
                <w:highlight w:val="yellow"/>
              </w:rPr>
            </w:pPr>
            <w:r w:rsidRPr="00AD1D52">
              <w:t>$16.4</w:t>
            </w:r>
          </w:p>
        </w:tc>
        <w:tc>
          <w:tcPr>
            <w:tcW w:w="1020" w:type="dxa"/>
            <w:vAlign w:val="center"/>
          </w:tcPr>
          <w:p w14:paraId="7FA9F223" w14:textId="4FCFF917" w:rsidR="005C302E" w:rsidRPr="00AD1D52" w:rsidRDefault="005C302E" w:rsidP="008F3442">
            <w:pPr>
              <w:jc w:val="center"/>
              <w:cnfStyle w:val="000000100000" w:firstRow="0" w:lastRow="0" w:firstColumn="0" w:lastColumn="0" w:oddVBand="0" w:evenVBand="0" w:oddHBand="1" w:evenHBand="0" w:firstRowFirstColumn="0" w:firstRowLastColumn="0" w:lastRowFirstColumn="0" w:lastRowLastColumn="0"/>
              <w:rPr>
                <w:highlight w:val="yellow"/>
              </w:rPr>
            </w:pPr>
            <w:r w:rsidRPr="00AD1D52">
              <w:t>$16.</w:t>
            </w:r>
            <w:r w:rsidR="002D2D56" w:rsidRPr="00AD1D52">
              <w:t>3</w:t>
            </w:r>
          </w:p>
        </w:tc>
        <w:tc>
          <w:tcPr>
            <w:tcW w:w="1020" w:type="dxa"/>
            <w:vAlign w:val="center"/>
          </w:tcPr>
          <w:p w14:paraId="35BB22ED" w14:textId="5CB9200B" w:rsidR="005C302E" w:rsidRPr="00AD1D52" w:rsidRDefault="005C302E" w:rsidP="008F3442">
            <w:pPr>
              <w:jc w:val="center"/>
              <w:cnfStyle w:val="000000100000" w:firstRow="0" w:lastRow="0" w:firstColumn="0" w:lastColumn="0" w:oddVBand="0" w:evenVBand="0" w:oddHBand="1" w:evenHBand="0" w:firstRowFirstColumn="0" w:firstRowLastColumn="0" w:lastRowFirstColumn="0" w:lastRowLastColumn="0"/>
              <w:rPr>
                <w:highlight w:val="yellow"/>
              </w:rPr>
            </w:pPr>
            <w:r w:rsidRPr="00AD1D52">
              <w:t>$</w:t>
            </w:r>
            <w:r w:rsidR="002D2D56" w:rsidRPr="00AD1D52">
              <w:t>16.4</w:t>
            </w:r>
          </w:p>
        </w:tc>
        <w:tc>
          <w:tcPr>
            <w:tcW w:w="1020" w:type="dxa"/>
            <w:vAlign w:val="center"/>
          </w:tcPr>
          <w:p w14:paraId="67379B76" w14:textId="4C8BCCA0" w:rsidR="005C302E" w:rsidRPr="00AD1D52" w:rsidRDefault="005C302E" w:rsidP="008F3442">
            <w:pPr>
              <w:jc w:val="center"/>
              <w:cnfStyle w:val="000000100000" w:firstRow="0" w:lastRow="0" w:firstColumn="0" w:lastColumn="0" w:oddVBand="0" w:evenVBand="0" w:oddHBand="1" w:evenHBand="0" w:firstRowFirstColumn="0" w:firstRowLastColumn="0" w:lastRowFirstColumn="0" w:lastRowLastColumn="0"/>
              <w:rPr>
                <w:highlight w:val="yellow"/>
              </w:rPr>
            </w:pPr>
            <w:r w:rsidRPr="00AD1D52">
              <w:t>$16.7</w:t>
            </w:r>
          </w:p>
        </w:tc>
        <w:tc>
          <w:tcPr>
            <w:tcW w:w="1020" w:type="dxa"/>
            <w:vAlign w:val="center"/>
          </w:tcPr>
          <w:p w14:paraId="5B53F500" w14:textId="2C2553CE" w:rsidR="005C302E" w:rsidRPr="00AD1D52" w:rsidRDefault="005C302E" w:rsidP="008F3442">
            <w:pPr>
              <w:jc w:val="center"/>
              <w:cnfStyle w:val="000000100000" w:firstRow="0" w:lastRow="0" w:firstColumn="0" w:lastColumn="0" w:oddVBand="0" w:evenVBand="0" w:oddHBand="1" w:evenHBand="0" w:firstRowFirstColumn="0" w:firstRowLastColumn="0" w:lastRowFirstColumn="0" w:lastRowLastColumn="0"/>
              <w:rPr>
                <w:highlight w:val="yellow"/>
              </w:rPr>
            </w:pPr>
            <w:r w:rsidRPr="00AD1D52">
              <w:t>$17.7</w:t>
            </w:r>
          </w:p>
        </w:tc>
      </w:tr>
    </w:tbl>
    <w:p w14:paraId="1066A517" w14:textId="204ADA94" w:rsidR="00BC5E9D" w:rsidRDefault="00BC5E9D">
      <w:pPr>
        <w:spacing w:before="0" w:after="200" w:line="276" w:lineRule="auto"/>
        <w:rPr>
          <w:b/>
        </w:rPr>
      </w:pPr>
    </w:p>
    <w:p w14:paraId="00A6F69B" w14:textId="36BD1F4D" w:rsidR="00397B4D" w:rsidRPr="00EF7932" w:rsidRDefault="00397B4D" w:rsidP="00A4528E">
      <w:pPr>
        <w:rPr>
          <w:b/>
        </w:rPr>
      </w:pPr>
      <w:r w:rsidRPr="00EF7932">
        <w:rPr>
          <w:b/>
        </w:rPr>
        <w:t>D</w:t>
      </w:r>
      <w:r w:rsidR="00EB20D2">
        <w:rPr>
          <w:b/>
        </w:rPr>
        <w:t>SP</w:t>
      </w:r>
      <w:r w:rsidRPr="00EF7932">
        <w:rPr>
          <w:b/>
        </w:rPr>
        <w:t xml:space="preserve"> population </w:t>
      </w:r>
    </w:p>
    <w:tbl>
      <w:tblPr>
        <w:tblStyle w:val="GridTable5Dark-Accent4"/>
        <w:tblW w:w="10583" w:type="dxa"/>
        <w:tblLayout w:type="fixed"/>
        <w:tblLook w:val="04A0" w:firstRow="1" w:lastRow="0" w:firstColumn="1" w:lastColumn="0" w:noHBand="0" w:noVBand="1"/>
        <w:tblDescription w:val="DSP population "/>
      </w:tblPr>
      <w:tblGrid>
        <w:gridCol w:w="1340"/>
        <w:gridCol w:w="1027"/>
        <w:gridCol w:w="1027"/>
        <w:gridCol w:w="1027"/>
        <w:gridCol w:w="1027"/>
        <w:gridCol w:w="1027"/>
        <w:gridCol w:w="1027"/>
        <w:gridCol w:w="1027"/>
        <w:gridCol w:w="1027"/>
        <w:gridCol w:w="1027"/>
      </w:tblGrid>
      <w:tr w:rsidR="00360793" w14:paraId="62653EDA" w14:textId="77777777" w:rsidTr="005B7D43">
        <w:trPr>
          <w:cnfStyle w:val="100000000000" w:firstRow="1" w:lastRow="0" w:firstColumn="0" w:lastColumn="0" w:oddVBand="0" w:evenVBand="0" w:oddHBand="0" w:evenHBand="0" w:firstRowFirstColumn="0" w:firstRowLastColumn="0" w:lastRowFirstColumn="0" w:lastRowLastColumn="0"/>
          <w:trHeight w:val="921"/>
          <w:tblHeader/>
        </w:trPr>
        <w:tc>
          <w:tcPr>
            <w:cnfStyle w:val="001000000000" w:firstRow="0" w:lastRow="0" w:firstColumn="1" w:lastColumn="0" w:oddVBand="0" w:evenVBand="0" w:oddHBand="0" w:evenHBand="0" w:firstRowFirstColumn="0" w:firstRowLastColumn="0" w:lastRowFirstColumn="0" w:lastRowLastColumn="0"/>
            <w:tcW w:w="1340" w:type="dxa"/>
          </w:tcPr>
          <w:p w14:paraId="6A345C23" w14:textId="35F5DFF1" w:rsidR="005268F1" w:rsidRPr="00BE179B" w:rsidRDefault="005268F1" w:rsidP="00A4528E">
            <w:pPr>
              <w:rPr>
                <w:b w:val="0"/>
                <w:sz w:val="20"/>
                <w:szCs w:val="20"/>
              </w:rPr>
            </w:pPr>
            <w:r w:rsidRPr="00BE179B">
              <w:rPr>
                <w:sz w:val="20"/>
                <w:szCs w:val="20"/>
              </w:rPr>
              <w:t>Date</w:t>
            </w:r>
          </w:p>
        </w:tc>
        <w:tc>
          <w:tcPr>
            <w:tcW w:w="1027" w:type="dxa"/>
          </w:tcPr>
          <w:p w14:paraId="75BFA7D8" w14:textId="15BCA3EA" w:rsidR="005268F1" w:rsidRPr="00BE179B" w:rsidRDefault="005268F1" w:rsidP="00A4528E">
            <w:pPr>
              <w:cnfStyle w:val="100000000000" w:firstRow="1" w:lastRow="0" w:firstColumn="0" w:lastColumn="0" w:oddVBand="0" w:evenVBand="0" w:oddHBand="0" w:evenHBand="0" w:firstRowFirstColumn="0" w:firstRowLastColumn="0" w:lastRowFirstColumn="0" w:lastRowLastColumn="0"/>
              <w:rPr>
                <w:b w:val="0"/>
                <w:sz w:val="20"/>
                <w:szCs w:val="20"/>
              </w:rPr>
            </w:pPr>
            <w:r w:rsidRPr="00BE179B">
              <w:rPr>
                <w:sz w:val="20"/>
                <w:szCs w:val="20"/>
              </w:rPr>
              <w:t>June 2012</w:t>
            </w:r>
          </w:p>
        </w:tc>
        <w:tc>
          <w:tcPr>
            <w:tcW w:w="1027" w:type="dxa"/>
          </w:tcPr>
          <w:p w14:paraId="5496F058" w14:textId="57B8F9F7" w:rsidR="005268F1" w:rsidRPr="00BE179B" w:rsidRDefault="005268F1" w:rsidP="00A4528E">
            <w:pPr>
              <w:cnfStyle w:val="100000000000" w:firstRow="1" w:lastRow="0" w:firstColumn="0" w:lastColumn="0" w:oddVBand="0" w:evenVBand="0" w:oddHBand="0" w:evenHBand="0" w:firstRowFirstColumn="0" w:firstRowLastColumn="0" w:lastRowFirstColumn="0" w:lastRowLastColumn="0"/>
              <w:rPr>
                <w:b w:val="0"/>
                <w:sz w:val="20"/>
                <w:szCs w:val="20"/>
              </w:rPr>
            </w:pPr>
            <w:r w:rsidRPr="00BE179B">
              <w:rPr>
                <w:sz w:val="20"/>
                <w:szCs w:val="20"/>
              </w:rPr>
              <w:t>June 2013</w:t>
            </w:r>
          </w:p>
        </w:tc>
        <w:tc>
          <w:tcPr>
            <w:tcW w:w="1027" w:type="dxa"/>
          </w:tcPr>
          <w:p w14:paraId="3D8F48F2" w14:textId="38E426CC" w:rsidR="005268F1" w:rsidRPr="00BE179B" w:rsidRDefault="005268F1" w:rsidP="00A4528E">
            <w:pPr>
              <w:cnfStyle w:val="100000000000" w:firstRow="1" w:lastRow="0" w:firstColumn="0" w:lastColumn="0" w:oddVBand="0" w:evenVBand="0" w:oddHBand="0" w:evenHBand="0" w:firstRowFirstColumn="0" w:firstRowLastColumn="0" w:lastRowFirstColumn="0" w:lastRowLastColumn="0"/>
              <w:rPr>
                <w:b w:val="0"/>
                <w:sz w:val="20"/>
                <w:szCs w:val="20"/>
              </w:rPr>
            </w:pPr>
            <w:r w:rsidRPr="00BE179B">
              <w:rPr>
                <w:sz w:val="20"/>
                <w:szCs w:val="20"/>
              </w:rPr>
              <w:t>June 2014</w:t>
            </w:r>
          </w:p>
        </w:tc>
        <w:tc>
          <w:tcPr>
            <w:tcW w:w="1027" w:type="dxa"/>
          </w:tcPr>
          <w:p w14:paraId="3CEE31BF" w14:textId="75642597" w:rsidR="005268F1" w:rsidRPr="00BE179B" w:rsidRDefault="005268F1" w:rsidP="00A4528E">
            <w:pPr>
              <w:cnfStyle w:val="100000000000" w:firstRow="1" w:lastRow="0" w:firstColumn="0" w:lastColumn="0" w:oddVBand="0" w:evenVBand="0" w:oddHBand="0" w:evenHBand="0" w:firstRowFirstColumn="0" w:firstRowLastColumn="0" w:lastRowFirstColumn="0" w:lastRowLastColumn="0"/>
              <w:rPr>
                <w:b w:val="0"/>
                <w:sz w:val="20"/>
                <w:szCs w:val="20"/>
              </w:rPr>
            </w:pPr>
            <w:r w:rsidRPr="00BE179B">
              <w:rPr>
                <w:sz w:val="20"/>
                <w:szCs w:val="20"/>
              </w:rPr>
              <w:t>June 2015</w:t>
            </w:r>
          </w:p>
        </w:tc>
        <w:tc>
          <w:tcPr>
            <w:tcW w:w="1027" w:type="dxa"/>
          </w:tcPr>
          <w:p w14:paraId="18F75151" w14:textId="4A10E815" w:rsidR="005268F1" w:rsidRPr="00BE179B" w:rsidRDefault="005268F1" w:rsidP="00A4528E">
            <w:pPr>
              <w:cnfStyle w:val="100000000000" w:firstRow="1" w:lastRow="0" w:firstColumn="0" w:lastColumn="0" w:oddVBand="0" w:evenVBand="0" w:oddHBand="0" w:evenHBand="0" w:firstRowFirstColumn="0" w:firstRowLastColumn="0" w:lastRowFirstColumn="0" w:lastRowLastColumn="0"/>
              <w:rPr>
                <w:b w:val="0"/>
                <w:sz w:val="20"/>
                <w:szCs w:val="20"/>
              </w:rPr>
            </w:pPr>
            <w:r w:rsidRPr="00BE179B">
              <w:rPr>
                <w:sz w:val="20"/>
                <w:szCs w:val="20"/>
              </w:rPr>
              <w:t>June 2016</w:t>
            </w:r>
          </w:p>
        </w:tc>
        <w:tc>
          <w:tcPr>
            <w:tcW w:w="1027" w:type="dxa"/>
          </w:tcPr>
          <w:p w14:paraId="62F75D9A" w14:textId="4FF8B172" w:rsidR="005268F1" w:rsidRPr="00BE179B" w:rsidRDefault="005268F1" w:rsidP="00A4528E">
            <w:pPr>
              <w:cnfStyle w:val="100000000000" w:firstRow="1" w:lastRow="0" w:firstColumn="0" w:lastColumn="0" w:oddVBand="0" w:evenVBand="0" w:oddHBand="0" w:evenHBand="0" w:firstRowFirstColumn="0" w:firstRowLastColumn="0" w:lastRowFirstColumn="0" w:lastRowLastColumn="0"/>
              <w:rPr>
                <w:b w:val="0"/>
                <w:sz w:val="20"/>
                <w:szCs w:val="20"/>
              </w:rPr>
            </w:pPr>
            <w:r w:rsidRPr="00BE179B">
              <w:rPr>
                <w:sz w:val="20"/>
                <w:szCs w:val="20"/>
              </w:rPr>
              <w:t>June 2017</w:t>
            </w:r>
          </w:p>
        </w:tc>
        <w:tc>
          <w:tcPr>
            <w:tcW w:w="1027" w:type="dxa"/>
          </w:tcPr>
          <w:p w14:paraId="46CEBA3B" w14:textId="330B6B61" w:rsidR="005268F1" w:rsidRPr="00BE179B" w:rsidRDefault="005268F1" w:rsidP="00A4528E">
            <w:pPr>
              <w:cnfStyle w:val="100000000000" w:firstRow="1" w:lastRow="0" w:firstColumn="0" w:lastColumn="0" w:oddVBand="0" w:evenVBand="0" w:oddHBand="0" w:evenHBand="0" w:firstRowFirstColumn="0" w:firstRowLastColumn="0" w:lastRowFirstColumn="0" w:lastRowLastColumn="0"/>
              <w:rPr>
                <w:b w:val="0"/>
                <w:sz w:val="20"/>
                <w:szCs w:val="20"/>
              </w:rPr>
            </w:pPr>
            <w:r w:rsidRPr="00BE179B">
              <w:rPr>
                <w:sz w:val="20"/>
                <w:szCs w:val="20"/>
              </w:rPr>
              <w:t>June 2018</w:t>
            </w:r>
          </w:p>
        </w:tc>
        <w:tc>
          <w:tcPr>
            <w:tcW w:w="1027" w:type="dxa"/>
          </w:tcPr>
          <w:p w14:paraId="03CB48BF" w14:textId="41C57CFB" w:rsidR="005268F1" w:rsidRPr="00BE179B" w:rsidRDefault="005268F1" w:rsidP="00A4528E">
            <w:pPr>
              <w:cnfStyle w:val="100000000000" w:firstRow="1" w:lastRow="0" w:firstColumn="0" w:lastColumn="0" w:oddVBand="0" w:evenVBand="0" w:oddHBand="0" w:evenHBand="0" w:firstRowFirstColumn="0" w:firstRowLastColumn="0" w:lastRowFirstColumn="0" w:lastRowLastColumn="0"/>
              <w:rPr>
                <w:b w:val="0"/>
                <w:sz w:val="20"/>
                <w:szCs w:val="20"/>
              </w:rPr>
            </w:pPr>
            <w:r w:rsidRPr="00BE179B">
              <w:rPr>
                <w:sz w:val="20"/>
                <w:szCs w:val="20"/>
              </w:rPr>
              <w:t>June 2019</w:t>
            </w:r>
          </w:p>
        </w:tc>
        <w:tc>
          <w:tcPr>
            <w:tcW w:w="1027" w:type="dxa"/>
          </w:tcPr>
          <w:p w14:paraId="28B27CAA" w14:textId="2137DEAC" w:rsidR="005268F1" w:rsidRPr="00BE179B" w:rsidRDefault="005268F1" w:rsidP="00A4528E">
            <w:pPr>
              <w:cnfStyle w:val="100000000000" w:firstRow="1" w:lastRow="0" w:firstColumn="0" w:lastColumn="0" w:oddVBand="0" w:evenVBand="0" w:oddHBand="0" w:evenHBand="0" w:firstRowFirstColumn="0" w:firstRowLastColumn="0" w:lastRowFirstColumn="0" w:lastRowLastColumn="0"/>
              <w:rPr>
                <w:b w:val="0"/>
                <w:sz w:val="20"/>
                <w:szCs w:val="20"/>
              </w:rPr>
            </w:pPr>
            <w:r w:rsidRPr="00BE179B">
              <w:rPr>
                <w:sz w:val="20"/>
                <w:szCs w:val="20"/>
              </w:rPr>
              <w:t>June 2020</w:t>
            </w:r>
          </w:p>
        </w:tc>
      </w:tr>
      <w:tr w:rsidR="00360793" w14:paraId="5FD5F730" w14:textId="77777777" w:rsidTr="00BE179B">
        <w:trPr>
          <w:cnfStyle w:val="000000100000" w:firstRow="0" w:lastRow="0" w:firstColumn="0" w:lastColumn="0" w:oddVBand="0" w:evenVBand="0" w:oddHBand="1" w:evenHBand="0" w:firstRowFirstColumn="0" w:firstRowLastColumn="0" w:lastRowFirstColumn="0" w:lastRowLastColumn="0"/>
          <w:trHeight w:val="921"/>
        </w:trPr>
        <w:tc>
          <w:tcPr>
            <w:cnfStyle w:val="001000000000" w:firstRow="0" w:lastRow="0" w:firstColumn="1" w:lastColumn="0" w:oddVBand="0" w:evenVBand="0" w:oddHBand="0" w:evenHBand="0" w:firstRowFirstColumn="0" w:firstRowLastColumn="0" w:lastRowFirstColumn="0" w:lastRowLastColumn="0"/>
            <w:tcW w:w="1340" w:type="dxa"/>
          </w:tcPr>
          <w:p w14:paraId="61291AC4" w14:textId="252EACE7" w:rsidR="005268F1" w:rsidRPr="00BE179B" w:rsidRDefault="005268F1" w:rsidP="00A4528E">
            <w:pPr>
              <w:rPr>
                <w:b w:val="0"/>
                <w:sz w:val="20"/>
                <w:szCs w:val="20"/>
              </w:rPr>
            </w:pPr>
            <w:r w:rsidRPr="00BE179B">
              <w:rPr>
                <w:sz w:val="20"/>
                <w:szCs w:val="20"/>
              </w:rPr>
              <w:t>Number of Recipients</w:t>
            </w:r>
          </w:p>
        </w:tc>
        <w:tc>
          <w:tcPr>
            <w:tcW w:w="1027" w:type="dxa"/>
            <w:vAlign w:val="center"/>
          </w:tcPr>
          <w:p w14:paraId="00F4CECA" w14:textId="2A36144E" w:rsidR="005268F1" w:rsidRPr="00BE179B" w:rsidRDefault="005268F1" w:rsidP="00303607">
            <w:pPr>
              <w:cnfStyle w:val="000000100000" w:firstRow="0" w:lastRow="0" w:firstColumn="0" w:lastColumn="0" w:oddVBand="0" w:evenVBand="0" w:oddHBand="1" w:evenHBand="0" w:firstRowFirstColumn="0" w:firstRowLastColumn="0" w:lastRowFirstColumn="0" w:lastRowLastColumn="0"/>
              <w:rPr>
                <w:b/>
                <w:sz w:val="20"/>
                <w:szCs w:val="20"/>
              </w:rPr>
            </w:pPr>
            <w:r w:rsidRPr="00BE179B">
              <w:rPr>
                <w:sz w:val="20"/>
                <w:szCs w:val="20"/>
              </w:rPr>
              <w:t>827,460</w:t>
            </w:r>
          </w:p>
        </w:tc>
        <w:tc>
          <w:tcPr>
            <w:tcW w:w="1027" w:type="dxa"/>
            <w:vAlign w:val="center"/>
          </w:tcPr>
          <w:p w14:paraId="4AADB8FB" w14:textId="359BFC30" w:rsidR="005268F1" w:rsidRPr="00BE179B" w:rsidRDefault="005268F1" w:rsidP="00303607">
            <w:pPr>
              <w:cnfStyle w:val="000000100000" w:firstRow="0" w:lastRow="0" w:firstColumn="0" w:lastColumn="0" w:oddVBand="0" w:evenVBand="0" w:oddHBand="1" w:evenHBand="0" w:firstRowFirstColumn="0" w:firstRowLastColumn="0" w:lastRowFirstColumn="0" w:lastRowLastColumn="0"/>
              <w:rPr>
                <w:b/>
                <w:sz w:val="20"/>
                <w:szCs w:val="20"/>
              </w:rPr>
            </w:pPr>
            <w:r w:rsidRPr="00BE179B">
              <w:rPr>
                <w:sz w:val="20"/>
                <w:szCs w:val="20"/>
              </w:rPr>
              <w:t>821,738</w:t>
            </w:r>
          </w:p>
        </w:tc>
        <w:tc>
          <w:tcPr>
            <w:tcW w:w="1027" w:type="dxa"/>
            <w:vAlign w:val="center"/>
          </w:tcPr>
          <w:p w14:paraId="059E455D" w14:textId="4E225C91" w:rsidR="005268F1" w:rsidRPr="00BE179B" w:rsidRDefault="005268F1" w:rsidP="00303607">
            <w:pPr>
              <w:cnfStyle w:val="000000100000" w:firstRow="0" w:lastRow="0" w:firstColumn="0" w:lastColumn="0" w:oddVBand="0" w:evenVBand="0" w:oddHBand="1" w:evenHBand="0" w:firstRowFirstColumn="0" w:firstRowLastColumn="0" w:lastRowFirstColumn="0" w:lastRowLastColumn="0"/>
              <w:rPr>
                <w:b/>
                <w:sz w:val="20"/>
                <w:szCs w:val="20"/>
              </w:rPr>
            </w:pPr>
            <w:r w:rsidRPr="00BE179B">
              <w:rPr>
                <w:sz w:val="20"/>
                <w:szCs w:val="20"/>
              </w:rPr>
              <w:t>830,454</w:t>
            </w:r>
          </w:p>
        </w:tc>
        <w:tc>
          <w:tcPr>
            <w:tcW w:w="1027" w:type="dxa"/>
            <w:vAlign w:val="center"/>
          </w:tcPr>
          <w:p w14:paraId="23D7A700" w14:textId="0360AD73" w:rsidR="005268F1" w:rsidRPr="00BE179B" w:rsidRDefault="005268F1" w:rsidP="00303607">
            <w:pPr>
              <w:cnfStyle w:val="000000100000" w:firstRow="0" w:lastRow="0" w:firstColumn="0" w:lastColumn="0" w:oddVBand="0" w:evenVBand="0" w:oddHBand="1" w:evenHBand="0" w:firstRowFirstColumn="0" w:firstRowLastColumn="0" w:lastRowFirstColumn="0" w:lastRowLastColumn="0"/>
              <w:rPr>
                <w:b/>
                <w:sz w:val="20"/>
                <w:szCs w:val="20"/>
              </w:rPr>
            </w:pPr>
            <w:r w:rsidRPr="00BE179B">
              <w:rPr>
                <w:sz w:val="20"/>
                <w:szCs w:val="20"/>
              </w:rPr>
              <w:t>814,391</w:t>
            </w:r>
          </w:p>
        </w:tc>
        <w:tc>
          <w:tcPr>
            <w:tcW w:w="1027" w:type="dxa"/>
            <w:vAlign w:val="center"/>
          </w:tcPr>
          <w:p w14:paraId="232E76E8" w14:textId="20947330" w:rsidR="005268F1" w:rsidRPr="00BE179B" w:rsidRDefault="005268F1" w:rsidP="00303607">
            <w:pPr>
              <w:cnfStyle w:val="000000100000" w:firstRow="0" w:lastRow="0" w:firstColumn="0" w:lastColumn="0" w:oddVBand="0" w:evenVBand="0" w:oddHBand="1" w:evenHBand="0" w:firstRowFirstColumn="0" w:firstRowLastColumn="0" w:lastRowFirstColumn="0" w:lastRowLastColumn="0"/>
              <w:rPr>
                <w:b/>
                <w:sz w:val="20"/>
                <w:szCs w:val="20"/>
              </w:rPr>
            </w:pPr>
            <w:r w:rsidRPr="00BE179B">
              <w:rPr>
                <w:sz w:val="20"/>
                <w:szCs w:val="20"/>
              </w:rPr>
              <w:t>782,891</w:t>
            </w:r>
          </w:p>
        </w:tc>
        <w:tc>
          <w:tcPr>
            <w:tcW w:w="1027" w:type="dxa"/>
            <w:vAlign w:val="center"/>
          </w:tcPr>
          <w:p w14:paraId="489455D5" w14:textId="63BC8FA2" w:rsidR="005268F1" w:rsidRPr="00BE179B" w:rsidRDefault="005268F1" w:rsidP="00303607">
            <w:pPr>
              <w:cnfStyle w:val="000000100000" w:firstRow="0" w:lastRow="0" w:firstColumn="0" w:lastColumn="0" w:oddVBand="0" w:evenVBand="0" w:oddHBand="1" w:evenHBand="0" w:firstRowFirstColumn="0" w:firstRowLastColumn="0" w:lastRowFirstColumn="0" w:lastRowLastColumn="0"/>
              <w:rPr>
                <w:b/>
                <w:sz w:val="20"/>
                <w:szCs w:val="20"/>
              </w:rPr>
            </w:pPr>
            <w:r w:rsidRPr="00BE179B">
              <w:rPr>
                <w:sz w:val="20"/>
                <w:szCs w:val="20"/>
              </w:rPr>
              <w:t>758,911</w:t>
            </w:r>
          </w:p>
        </w:tc>
        <w:tc>
          <w:tcPr>
            <w:tcW w:w="1027" w:type="dxa"/>
            <w:vAlign w:val="center"/>
          </w:tcPr>
          <w:p w14:paraId="7DADA504" w14:textId="4C2F640D" w:rsidR="005268F1" w:rsidRPr="00BE179B" w:rsidRDefault="005268F1" w:rsidP="00303607">
            <w:pPr>
              <w:cnfStyle w:val="000000100000" w:firstRow="0" w:lastRow="0" w:firstColumn="0" w:lastColumn="0" w:oddVBand="0" w:evenVBand="0" w:oddHBand="1" w:evenHBand="0" w:firstRowFirstColumn="0" w:firstRowLastColumn="0" w:lastRowFirstColumn="0" w:lastRowLastColumn="0"/>
              <w:rPr>
                <w:b/>
                <w:sz w:val="20"/>
                <w:szCs w:val="20"/>
              </w:rPr>
            </w:pPr>
            <w:r w:rsidRPr="00BE179B">
              <w:rPr>
                <w:sz w:val="20"/>
                <w:szCs w:val="20"/>
              </w:rPr>
              <w:t>756,960</w:t>
            </w:r>
          </w:p>
        </w:tc>
        <w:tc>
          <w:tcPr>
            <w:tcW w:w="1027" w:type="dxa"/>
            <w:vAlign w:val="center"/>
          </w:tcPr>
          <w:p w14:paraId="09A08617" w14:textId="496801C7" w:rsidR="005268F1" w:rsidRPr="00BE179B" w:rsidRDefault="005268F1" w:rsidP="00303607">
            <w:pPr>
              <w:cnfStyle w:val="000000100000" w:firstRow="0" w:lastRow="0" w:firstColumn="0" w:lastColumn="0" w:oddVBand="0" w:evenVBand="0" w:oddHBand="1" w:evenHBand="0" w:firstRowFirstColumn="0" w:firstRowLastColumn="0" w:lastRowFirstColumn="0" w:lastRowLastColumn="0"/>
              <w:rPr>
                <w:b/>
                <w:sz w:val="20"/>
                <w:szCs w:val="20"/>
              </w:rPr>
            </w:pPr>
            <w:r w:rsidRPr="00BE179B">
              <w:rPr>
                <w:sz w:val="20"/>
                <w:szCs w:val="20"/>
              </w:rPr>
              <w:t>745,673</w:t>
            </w:r>
          </w:p>
        </w:tc>
        <w:tc>
          <w:tcPr>
            <w:tcW w:w="1027" w:type="dxa"/>
            <w:vAlign w:val="center"/>
          </w:tcPr>
          <w:p w14:paraId="6E44C8BD" w14:textId="5400808B" w:rsidR="005268F1" w:rsidRPr="00BE179B" w:rsidRDefault="005268F1" w:rsidP="00303607">
            <w:pPr>
              <w:cnfStyle w:val="000000100000" w:firstRow="0" w:lastRow="0" w:firstColumn="0" w:lastColumn="0" w:oddVBand="0" w:evenVBand="0" w:oddHBand="1" w:evenHBand="0" w:firstRowFirstColumn="0" w:firstRowLastColumn="0" w:lastRowFirstColumn="0" w:lastRowLastColumn="0"/>
              <w:rPr>
                <w:b/>
                <w:sz w:val="20"/>
                <w:szCs w:val="20"/>
              </w:rPr>
            </w:pPr>
            <w:r w:rsidRPr="00BE179B">
              <w:rPr>
                <w:sz w:val="20"/>
                <w:szCs w:val="20"/>
              </w:rPr>
              <w:t>754,181</w:t>
            </w:r>
          </w:p>
        </w:tc>
      </w:tr>
    </w:tbl>
    <w:p w14:paraId="30AA5120" w14:textId="032E560F" w:rsidR="00F852B2" w:rsidRDefault="00F852B2" w:rsidP="00A4528E">
      <w:pPr>
        <w:rPr>
          <w:b/>
        </w:rPr>
      </w:pPr>
    </w:p>
    <w:p w14:paraId="61EE8ED5" w14:textId="661B655A" w:rsidR="00397B4D" w:rsidRDefault="00397B4D" w:rsidP="00A4528E">
      <w:pPr>
        <w:rPr>
          <w:b/>
        </w:rPr>
      </w:pPr>
      <w:r w:rsidRPr="00EF7932">
        <w:rPr>
          <w:b/>
        </w:rPr>
        <w:t xml:space="preserve">Top </w:t>
      </w:r>
      <w:r w:rsidR="00A20CFD">
        <w:rPr>
          <w:b/>
        </w:rPr>
        <w:t xml:space="preserve">5 </w:t>
      </w:r>
      <w:r w:rsidR="001021E6" w:rsidRPr="00EF7932">
        <w:rPr>
          <w:b/>
        </w:rPr>
        <w:t xml:space="preserve">primary </w:t>
      </w:r>
      <w:r w:rsidR="00A20CFD">
        <w:rPr>
          <w:b/>
        </w:rPr>
        <w:t>medical condition categories</w:t>
      </w:r>
    </w:p>
    <w:tbl>
      <w:tblPr>
        <w:tblStyle w:val="GridTable5Dark-Accent4"/>
        <w:tblW w:w="10254" w:type="dxa"/>
        <w:tblLayout w:type="fixed"/>
        <w:tblLook w:val="04A0" w:firstRow="1" w:lastRow="0" w:firstColumn="1" w:lastColumn="0" w:noHBand="0" w:noVBand="1"/>
        <w:tblDescription w:val="Top 5 primary medical condition categories"/>
      </w:tblPr>
      <w:tblGrid>
        <w:gridCol w:w="2226"/>
        <w:gridCol w:w="1372"/>
        <w:gridCol w:w="1664"/>
        <w:gridCol w:w="1664"/>
        <w:gridCol w:w="1664"/>
        <w:gridCol w:w="1664"/>
      </w:tblGrid>
      <w:tr w:rsidR="00470775" w14:paraId="04A89447" w14:textId="77777777" w:rsidTr="005B7D43">
        <w:trPr>
          <w:cnfStyle w:val="100000000000" w:firstRow="1" w:lastRow="0" w:firstColumn="0" w:lastColumn="0" w:oddVBand="0" w:evenVBand="0" w:oddHBand="0" w:evenHBand="0" w:firstRowFirstColumn="0" w:firstRowLastColumn="0" w:lastRowFirstColumn="0" w:lastRowLastColumn="0"/>
          <w:trHeight w:val="876"/>
          <w:tblHeader/>
        </w:trPr>
        <w:tc>
          <w:tcPr>
            <w:cnfStyle w:val="001000000000" w:firstRow="0" w:lastRow="0" w:firstColumn="1" w:lastColumn="0" w:oddVBand="0" w:evenVBand="0" w:oddHBand="0" w:evenHBand="0" w:firstRowFirstColumn="0" w:firstRowLastColumn="0" w:lastRowFirstColumn="0" w:lastRowLastColumn="0"/>
            <w:tcW w:w="2226" w:type="dxa"/>
            <w:noWrap/>
            <w:hideMark/>
          </w:tcPr>
          <w:p w14:paraId="64EFB3F2" w14:textId="40B261B3" w:rsidR="00470775" w:rsidRDefault="00470775" w:rsidP="00A20CFD">
            <w:pPr>
              <w:spacing w:after="0" w:line="240" w:lineRule="auto"/>
              <w:rPr>
                <w:rFonts w:asciiTheme="minorHAnsi" w:hAnsiTheme="minorHAnsi" w:cstheme="minorHAnsi"/>
                <w:b w:val="0"/>
                <w:bCs w:val="0"/>
                <w:spacing w:val="0"/>
                <w:lang w:eastAsia="en-US"/>
              </w:rPr>
            </w:pPr>
            <w:r>
              <w:rPr>
                <w:rFonts w:asciiTheme="minorHAnsi" w:hAnsiTheme="minorHAnsi" w:cstheme="minorHAnsi"/>
                <w:b w:val="0"/>
                <w:bCs w:val="0"/>
                <w:lang w:eastAsia="en-US"/>
              </w:rPr>
              <w:t>Medical Conditions</w:t>
            </w:r>
          </w:p>
        </w:tc>
        <w:tc>
          <w:tcPr>
            <w:tcW w:w="1372" w:type="dxa"/>
            <w:noWrap/>
            <w:vAlign w:val="center"/>
            <w:hideMark/>
          </w:tcPr>
          <w:p w14:paraId="5AD7280D" w14:textId="77777777" w:rsidR="00470775" w:rsidRDefault="00470775" w:rsidP="009C3641">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bCs w:val="0"/>
                <w:lang w:eastAsia="en-US"/>
              </w:rPr>
            </w:pPr>
            <w:r>
              <w:rPr>
                <w:rFonts w:asciiTheme="minorHAnsi" w:hAnsiTheme="minorHAnsi" w:cstheme="minorHAnsi"/>
                <w:b w:val="0"/>
                <w:bCs w:val="0"/>
                <w:lang w:eastAsia="en-US"/>
              </w:rPr>
              <w:t>Jun 12</w:t>
            </w:r>
          </w:p>
        </w:tc>
        <w:tc>
          <w:tcPr>
            <w:tcW w:w="1664" w:type="dxa"/>
            <w:noWrap/>
            <w:vAlign w:val="center"/>
            <w:hideMark/>
          </w:tcPr>
          <w:p w14:paraId="276E90E6" w14:textId="77777777" w:rsidR="00470775" w:rsidRDefault="00470775" w:rsidP="009C364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lang w:eastAsia="en-US"/>
              </w:rPr>
            </w:pPr>
            <w:r>
              <w:rPr>
                <w:rFonts w:asciiTheme="minorHAnsi" w:hAnsiTheme="minorHAnsi" w:cstheme="minorHAnsi"/>
                <w:b w:val="0"/>
                <w:bCs w:val="0"/>
                <w:lang w:eastAsia="en-US"/>
              </w:rPr>
              <w:t>Jun 14</w:t>
            </w:r>
          </w:p>
        </w:tc>
        <w:tc>
          <w:tcPr>
            <w:tcW w:w="1664" w:type="dxa"/>
            <w:vAlign w:val="center"/>
            <w:hideMark/>
          </w:tcPr>
          <w:p w14:paraId="028C29C1" w14:textId="77777777" w:rsidR="00470775" w:rsidRDefault="00470775" w:rsidP="009C364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lang w:eastAsia="en-US"/>
              </w:rPr>
            </w:pPr>
            <w:r>
              <w:rPr>
                <w:rFonts w:asciiTheme="minorHAnsi" w:hAnsiTheme="minorHAnsi" w:cstheme="minorHAnsi"/>
                <w:b w:val="0"/>
                <w:bCs w:val="0"/>
                <w:lang w:eastAsia="en-US"/>
              </w:rPr>
              <w:t>Jun 16</w:t>
            </w:r>
          </w:p>
        </w:tc>
        <w:tc>
          <w:tcPr>
            <w:tcW w:w="1664" w:type="dxa"/>
            <w:vAlign w:val="center"/>
            <w:hideMark/>
          </w:tcPr>
          <w:p w14:paraId="372AB22B" w14:textId="77777777" w:rsidR="00470775" w:rsidRDefault="00470775" w:rsidP="009C364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lang w:eastAsia="en-US"/>
              </w:rPr>
            </w:pPr>
            <w:r>
              <w:rPr>
                <w:rFonts w:asciiTheme="minorHAnsi" w:hAnsiTheme="minorHAnsi" w:cstheme="minorHAnsi"/>
                <w:b w:val="0"/>
                <w:bCs w:val="0"/>
                <w:lang w:eastAsia="en-US"/>
              </w:rPr>
              <w:t>Jun 18</w:t>
            </w:r>
          </w:p>
        </w:tc>
        <w:tc>
          <w:tcPr>
            <w:tcW w:w="1664" w:type="dxa"/>
            <w:vAlign w:val="center"/>
            <w:hideMark/>
          </w:tcPr>
          <w:p w14:paraId="73AB1098" w14:textId="77777777" w:rsidR="00470775" w:rsidRDefault="00470775" w:rsidP="009C364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lang w:eastAsia="en-US"/>
              </w:rPr>
            </w:pPr>
            <w:r>
              <w:rPr>
                <w:rFonts w:asciiTheme="minorHAnsi" w:hAnsiTheme="minorHAnsi" w:cstheme="minorHAnsi"/>
                <w:b w:val="0"/>
                <w:bCs w:val="0"/>
                <w:lang w:eastAsia="en-US"/>
              </w:rPr>
              <w:t>Jun 20</w:t>
            </w:r>
          </w:p>
        </w:tc>
      </w:tr>
      <w:tr w:rsidR="00470775" w14:paraId="209A5988" w14:textId="77777777" w:rsidTr="00ED0F93">
        <w:trPr>
          <w:cnfStyle w:val="000000100000" w:firstRow="0" w:lastRow="0" w:firstColumn="0" w:lastColumn="0" w:oddVBand="0" w:evenVBand="0" w:oddHBand="1"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2226" w:type="dxa"/>
            <w:noWrap/>
            <w:hideMark/>
          </w:tcPr>
          <w:p w14:paraId="524D2169" w14:textId="1132ABAE" w:rsidR="00470775" w:rsidRDefault="00470775" w:rsidP="001F3412">
            <w:pPr>
              <w:rPr>
                <w:rFonts w:asciiTheme="minorHAnsi" w:hAnsiTheme="minorHAnsi" w:cstheme="minorHAnsi"/>
                <w:lang w:eastAsia="en-US"/>
              </w:rPr>
            </w:pPr>
            <w:r>
              <w:rPr>
                <w:rFonts w:asciiTheme="minorHAnsi" w:hAnsiTheme="minorHAnsi" w:cstheme="minorHAnsi"/>
                <w:lang w:eastAsia="en-US"/>
              </w:rPr>
              <w:t>Psychological/</w:t>
            </w:r>
            <w:r w:rsidR="001F3412">
              <w:rPr>
                <w:rFonts w:asciiTheme="minorHAnsi" w:hAnsiTheme="minorHAnsi" w:cstheme="minorHAnsi"/>
                <w:lang w:eastAsia="en-US"/>
              </w:rPr>
              <w:t xml:space="preserve"> </w:t>
            </w:r>
            <w:r>
              <w:rPr>
                <w:rFonts w:asciiTheme="minorHAnsi" w:hAnsiTheme="minorHAnsi" w:cstheme="minorHAnsi"/>
                <w:lang w:eastAsia="en-US"/>
              </w:rPr>
              <w:t>Psychiatric</w:t>
            </w:r>
          </w:p>
        </w:tc>
        <w:tc>
          <w:tcPr>
            <w:tcW w:w="1372" w:type="dxa"/>
            <w:noWrap/>
            <w:hideMark/>
          </w:tcPr>
          <w:p w14:paraId="7407AD21" w14:textId="6783A0B7" w:rsidR="00470775" w:rsidRPr="00692F21" w:rsidRDefault="00470775" w:rsidP="0028050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r w:rsidRPr="00692F21">
              <w:rPr>
                <w:rFonts w:asciiTheme="minorHAnsi" w:hAnsiTheme="minorHAnsi" w:cstheme="minorHAnsi"/>
                <w:lang w:eastAsia="en-US"/>
              </w:rPr>
              <w:t>250,516 (30.3%)</w:t>
            </w:r>
          </w:p>
        </w:tc>
        <w:tc>
          <w:tcPr>
            <w:tcW w:w="1664" w:type="dxa"/>
            <w:noWrap/>
            <w:hideMark/>
          </w:tcPr>
          <w:p w14:paraId="734D5CA6" w14:textId="6582FA1F" w:rsidR="00470775" w:rsidRPr="00692F21" w:rsidRDefault="00470775" w:rsidP="0028050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r w:rsidRPr="00692F21">
              <w:rPr>
                <w:rFonts w:asciiTheme="minorHAnsi" w:hAnsiTheme="minorHAnsi" w:cstheme="minorHAnsi"/>
                <w:lang w:eastAsia="en-US"/>
              </w:rPr>
              <w:t>264,516 (31.9%)</w:t>
            </w:r>
          </w:p>
        </w:tc>
        <w:tc>
          <w:tcPr>
            <w:tcW w:w="1664" w:type="dxa"/>
            <w:hideMark/>
          </w:tcPr>
          <w:p w14:paraId="5BB2B840" w14:textId="7DE892AE" w:rsidR="00470775" w:rsidRPr="00692F21" w:rsidRDefault="00470775" w:rsidP="0028050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r w:rsidRPr="00692F21">
              <w:rPr>
                <w:rFonts w:asciiTheme="minorHAnsi" w:hAnsiTheme="minorHAnsi" w:cstheme="minorHAnsi"/>
                <w:lang w:eastAsia="en-US"/>
              </w:rPr>
              <w:t>259,149 (33.1%)</w:t>
            </w:r>
          </w:p>
        </w:tc>
        <w:tc>
          <w:tcPr>
            <w:tcW w:w="1664" w:type="dxa"/>
            <w:hideMark/>
          </w:tcPr>
          <w:p w14:paraId="0363A3C9" w14:textId="330B097F" w:rsidR="00470775" w:rsidRPr="00692F21" w:rsidRDefault="00470775" w:rsidP="0028050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r w:rsidRPr="00692F21">
              <w:rPr>
                <w:rFonts w:asciiTheme="minorHAnsi" w:hAnsiTheme="minorHAnsi" w:cstheme="minorHAnsi"/>
                <w:lang w:eastAsia="en-US"/>
              </w:rPr>
              <w:t>257,721 (34.0%)</w:t>
            </w:r>
          </w:p>
        </w:tc>
        <w:tc>
          <w:tcPr>
            <w:tcW w:w="1664" w:type="dxa"/>
            <w:hideMark/>
          </w:tcPr>
          <w:p w14:paraId="2ABC9B30" w14:textId="60EF7EA6" w:rsidR="00470775" w:rsidRPr="00692F21" w:rsidRDefault="00470775" w:rsidP="0028050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r w:rsidRPr="00692F21">
              <w:rPr>
                <w:rFonts w:asciiTheme="minorHAnsi" w:hAnsiTheme="minorHAnsi" w:cstheme="minorHAnsi"/>
                <w:lang w:eastAsia="en-US"/>
              </w:rPr>
              <w:t>265,285 (35.2%)</w:t>
            </w:r>
          </w:p>
        </w:tc>
      </w:tr>
      <w:tr w:rsidR="00470775" w14:paraId="7D7C2F02" w14:textId="77777777" w:rsidTr="00ED0F93">
        <w:trPr>
          <w:trHeight w:val="876"/>
        </w:trPr>
        <w:tc>
          <w:tcPr>
            <w:cnfStyle w:val="001000000000" w:firstRow="0" w:lastRow="0" w:firstColumn="1" w:lastColumn="0" w:oddVBand="0" w:evenVBand="0" w:oddHBand="0" w:evenHBand="0" w:firstRowFirstColumn="0" w:firstRowLastColumn="0" w:lastRowFirstColumn="0" w:lastRowLastColumn="0"/>
            <w:tcW w:w="2226" w:type="dxa"/>
            <w:noWrap/>
            <w:hideMark/>
          </w:tcPr>
          <w:p w14:paraId="5C6968C2" w14:textId="77777777" w:rsidR="00470775" w:rsidRDefault="00470775">
            <w:pPr>
              <w:rPr>
                <w:rFonts w:asciiTheme="minorHAnsi" w:hAnsiTheme="minorHAnsi" w:cstheme="minorHAnsi"/>
                <w:lang w:eastAsia="en-US"/>
              </w:rPr>
            </w:pPr>
            <w:r>
              <w:rPr>
                <w:rFonts w:asciiTheme="minorHAnsi" w:hAnsiTheme="minorHAnsi" w:cstheme="minorHAnsi"/>
                <w:lang w:eastAsia="en-US"/>
              </w:rPr>
              <w:t>Muscular-</w:t>
            </w:r>
            <w:r>
              <w:rPr>
                <w:rFonts w:asciiTheme="minorHAnsi" w:hAnsiTheme="minorHAnsi" w:cstheme="minorHAnsi"/>
                <w:lang w:eastAsia="en-US"/>
              </w:rPr>
              <w:br/>
              <w:t>Skeletal</w:t>
            </w:r>
          </w:p>
        </w:tc>
        <w:tc>
          <w:tcPr>
            <w:tcW w:w="1372" w:type="dxa"/>
            <w:noWrap/>
            <w:hideMark/>
          </w:tcPr>
          <w:p w14:paraId="52E4B6B6" w14:textId="3AFBE8E8" w:rsidR="00470775" w:rsidRPr="00692F21" w:rsidRDefault="00470775" w:rsidP="0028050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692F21">
              <w:rPr>
                <w:rFonts w:asciiTheme="minorHAnsi" w:hAnsiTheme="minorHAnsi" w:cstheme="minorHAnsi"/>
                <w:lang w:eastAsia="en-US"/>
              </w:rPr>
              <w:t>225,787 (27.3%)</w:t>
            </w:r>
          </w:p>
        </w:tc>
        <w:tc>
          <w:tcPr>
            <w:tcW w:w="1664" w:type="dxa"/>
            <w:noWrap/>
            <w:hideMark/>
          </w:tcPr>
          <w:p w14:paraId="2AC229F9" w14:textId="5C7E741B" w:rsidR="00470775" w:rsidRPr="00692F21" w:rsidRDefault="00470775" w:rsidP="0028050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692F21">
              <w:rPr>
                <w:rFonts w:asciiTheme="minorHAnsi" w:hAnsiTheme="minorHAnsi" w:cstheme="minorHAnsi"/>
                <w:lang w:eastAsia="en-US"/>
              </w:rPr>
              <w:t>210,186 (25.3%)</w:t>
            </w:r>
          </w:p>
        </w:tc>
        <w:tc>
          <w:tcPr>
            <w:tcW w:w="1664" w:type="dxa"/>
            <w:hideMark/>
          </w:tcPr>
          <w:p w14:paraId="705307A2" w14:textId="69B0C794" w:rsidR="00470775" w:rsidRPr="00692F21" w:rsidRDefault="00470775" w:rsidP="0028050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692F21">
              <w:rPr>
                <w:rFonts w:asciiTheme="minorHAnsi" w:hAnsiTheme="minorHAnsi" w:cstheme="minorHAnsi"/>
                <w:lang w:eastAsia="en-US"/>
              </w:rPr>
              <w:t>182,647 (23.3%)</w:t>
            </w:r>
          </w:p>
        </w:tc>
        <w:tc>
          <w:tcPr>
            <w:tcW w:w="1664" w:type="dxa"/>
            <w:hideMark/>
          </w:tcPr>
          <w:p w14:paraId="335A590C" w14:textId="445763FC" w:rsidR="00470775" w:rsidRPr="00692F21" w:rsidRDefault="00470775" w:rsidP="0028050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692F21">
              <w:rPr>
                <w:rFonts w:asciiTheme="minorHAnsi" w:hAnsiTheme="minorHAnsi" w:cstheme="minorHAnsi"/>
                <w:lang w:eastAsia="en-US"/>
              </w:rPr>
              <w:t>163,973 (21.7%)</w:t>
            </w:r>
          </w:p>
        </w:tc>
        <w:tc>
          <w:tcPr>
            <w:tcW w:w="1664" w:type="dxa"/>
            <w:hideMark/>
          </w:tcPr>
          <w:p w14:paraId="045CF6FE" w14:textId="3B2F6BA7" w:rsidR="00470775" w:rsidRPr="00692F21" w:rsidRDefault="00470775" w:rsidP="0028050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692F21">
              <w:rPr>
                <w:rFonts w:asciiTheme="minorHAnsi" w:hAnsiTheme="minorHAnsi" w:cstheme="minorHAnsi"/>
                <w:lang w:eastAsia="en-US"/>
              </w:rPr>
              <w:t>150,154 (19.9%)</w:t>
            </w:r>
          </w:p>
        </w:tc>
      </w:tr>
      <w:tr w:rsidR="00470775" w14:paraId="714B614D" w14:textId="77777777" w:rsidTr="00ED0F93">
        <w:trPr>
          <w:cnfStyle w:val="000000100000" w:firstRow="0" w:lastRow="0" w:firstColumn="0" w:lastColumn="0" w:oddVBand="0" w:evenVBand="0" w:oddHBand="1"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2226" w:type="dxa"/>
            <w:noWrap/>
            <w:hideMark/>
          </w:tcPr>
          <w:p w14:paraId="20245D89" w14:textId="77777777" w:rsidR="00470775" w:rsidRDefault="00470775">
            <w:pPr>
              <w:rPr>
                <w:rFonts w:asciiTheme="minorHAnsi" w:hAnsiTheme="minorHAnsi" w:cstheme="minorHAnsi"/>
                <w:lang w:eastAsia="en-US"/>
              </w:rPr>
            </w:pPr>
            <w:r>
              <w:rPr>
                <w:rFonts w:asciiTheme="minorHAnsi" w:hAnsiTheme="minorHAnsi" w:cstheme="minorHAnsi"/>
                <w:lang w:eastAsia="en-US"/>
              </w:rPr>
              <w:t>Intellectual/</w:t>
            </w:r>
            <w:r>
              <w:rPr>
                <w:rFonts w:asciiTheme="minorHAnsi" w:hAnsiTheme="minorHAnsi" w:cstheme="minorHAnsi"/>
                <w:lang w:eastAsia="en-US"/>
              </w:rPr>
              <w:br/>
              <w:t>Learning</w:t>
            </w:r>
          </w:p>
        </w:tc>
        <w:tc>
          <w:tcPr>
            <w:tcW w:w="1372" w:type="dxa"/>
            <w:noWrap/>
            <w:hideMark/>
          </w:tcPr>
          <w:p w14:paraId="2E250359" w14:textId="0EB0856E" w:rsidR="00470775" w:rsidRPr="00692F21" w:rsidRDefault="00470775" w:rsidP="0028050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r w:rsidRPr="00692F21">
              <w:rPr>
                <w:rFonts w:asciiTheme="minorHAnsi" w:hAnsiTheme="minorHAnsi" w:cstheme="minorHAnsi"/>
                <w:lang w:eastAsia="en-US"/>
              </w:rPr>
              <w:t>99,579 (12.0%)</w:t>
            </w:r>
          </w:p>
        </w:tc>
        <w:tc>
          <w:tcPr>
            <w:tcW w:w="1664" w:type="dxa"/>
            <w:noWrap/>
            <w:hideMark/>
          </w:tcPr>
          <w:p w14:paraId="1FBB6EA7" w14:textId="23FE3C4C" w:rsidR="00470775" w:rsidRPr="00692F21" w:rsidRDefault="00470775" w:rsidP="0028050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r w:rsidRPr="00692F21">
              <w:rPr>
                <w:rFonts w:asciiTheme="minorHAnsi" w:hAnsiTheme="minorHAnsi" w:cstheme="minorHAnsi"/>
                <w:lang w:eastAsia="en-US"/>
              </w:rPr>
              <w:t>104,362 (12.6%)</w:t>
            </w:r>
          </w:p>
        </w:tc>
        <w:tc>
          <w:tcPr>
            <w:tcW w:w="1664" w:type="dxa"/>
            <w:hideMark/>
          </w:tcPr>
          <w:p w14:paraId="711806B3" w14:textId="6F37DE80" w:rsidR="00470775" w:rsidRPr="00692F21" w:rsidRDefault="00470775" w:rsidP="0028050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r w:rsidRPr="00692F21">
              <w:rPr>
                <w:rFonts w:asciiTheme="minorHAnsi" w:hAnsiTheme="minorHAnsi" w:cstheme="minorHAnsi"/>
                <w:lang w:eastAsia="en-US"/>
              </w:rPr>
              <w:t>106,152 (13.6%)</w:t>
            </w:r>
          </w:p>
        </w:tc>
        <w:tc>
          <w:tcPr>
            <w:tcW w:w="1664" w:type="dxa"/>
            <w:hideMark/>
          </w:tcPr>
          <w:p w14:paraId="64A8807D" w14:textId="46880BA6" w:rsidR="00470775" w:rsidRPr="00692F21" w:rsidRDefault="00470775" w:rsidP="0028050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r w:rsidRPr="00692F21">
              <w:rPr>
                <w:rFonts w:asciiTheme="minorHAnsi" w:hAnsiTheme="minorHAnsi" w:cstheme="minorHAnsi"/>
                <w:lang w:eastAsia="en-US"/>
              </w:rPr>
              <w:t>109,172 (14.4%)</w:t>
            </w:r>
          </w:p>
        </w:tc>
        <w:tc>
          <w:tcPr>
            <w:tcW w:w="1664" w:type="dxa"/>
            <w:hideMark/>
          </w:tcPr>
          <w:p w14:paraId="17068C91" w14:textId="285E8FB0" w:rsidR="00470775" w:rsidRPr="00692F21" w:rsidRDefault="00470775" w:rsidP="0028050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r w:rsidRPr="00692F21">
              <w:rPr>
                <w:rFonts w:asciiTheme="minorHAnsi" w:hAnsiTheme="minorHAnsi" w:cstheme="minorHAnsi"/>
                <w:lang w:eastAsia="en-US"/>
              </w:rPr>
              <w:t>113,410 (15.0%)</w:t>
            </w:r>
          </w:p>
        </w:tc>
      </w:tr>
      <w:tr w:rsidR="00360793" w14:paraId="3285730A" w14:textId="77777777" w:rsidTr="00ED0F93">
        <w:trPr>
          <w:trHeight w:val="876"/>
        </w:trPr>
        <w:tc>
          <w:tcPr>
            <w:cnfStyle w:val="001000000000" w:firstRow="0" w:lastRow="0" w:firstColumn="1" w:lastColumn="0" w:oddVBand="0" w:evenVBand="0" w:oddHBand="0" w:evenHBand="0" w:firstRowFirstColumn="0" w:firstRowLastColumn="0" w:lastRowFirstColumn="0" w:lastRowLastColumn="0"/>
            <w:tcW w:w="2226" w:type="dxa"/>
            <w:noWrap/>
          </w:tcPr>
          <w:p w14:paraId="3CB04239" w14:textId="6A0A1B5C" w:rsidR="00360793" w:rsidRDefault="00360793" w:rsidP="00360793">
            <w:pPr>
              <w:rPr>
                <w:rFonts w:asciiTheme="minorHAnsi" w:hAnsiTheme="minorHAnsi" w:cstheme="minorHAnsi"/>
                <w:lang w:eastAsia="en-US"/>
              </w:rPr>
            </w:pPr>
            <w:r>
              <w:rPr>
                <w:rFonts w:asciiTheme="minorHAnsi" w:hAnsiTheme="minorHAnsi" w:cstheme="minorHAnsi"/>
                <w:lang w:eastAsia="en-US"/>
              </w:rPr>
              <w:t>Nervous System</w:t>
            </w:r>
          </w:p>
        </w:tc>
        <w:tc>
          <w:tcPr>
            <w:tcW w:w="1372" w:type="dxa"/>
            <w:noWrap/>
          </w:tcPr>
          <w:p w14:paraId="50E94D63" w14:textId="20C87D94" w:rsidR="00360793" w:rsidRPr="00692F21" w:rsidRDefault="00360793" w:rsidP="0028050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692F21">
              <w:rPr>
                <w:rFonts w:asciiTheme="minorHAnsi" w:hAnsiTheme="minorHAnsi" w:cstheme="minorHAnsi"/>
                <w:lang w:eastAsia="en-US"/>
              </w:rPr>
              <w:t>41,284 (5.0%)</w:t>
            </w:r>
          </w:p>
        </w:tc>
        <w:tc>
          <w:tcPr>
            <w:tcW w:w="1664" w:type="dxa"/>
            <w:noWrap/>
          </w:tcPr>
          <w:p w14:paraId="214AB026" w14:textId="4686527C" w:rsidR="00360793" w:rsidRPr="00692F21" w:rsidRDefault="00360793" w:rsidP="0028050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692F21">
              <w:rPr>
                <w:rFonts w:asciiTheme="minorHAnsi" w:hAnsiTheme="minorHAnsi" w:cstheme="minorHAnsi"/>
                <w:lang w:eastAsia="en-US"/>
              </w:rPr>
              <w:t>43,448 (5.2%)</w:t>
            </w:r>
          </w:p>
        </w:tc>
        <w:tc>
          <w:tcPr>
            <w:tcW w:w="1664" w:type="dxa"/>
          </w:tcPr>
          <w:p w14:paraId="49546BD5" w14:textId="2A172FF9" w:rsidR="00360793" w:rsidRPr="00692F21" w:rsidRDefault="00360793" w:rsidP="0028050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692F21">
              <w:rPr>
                <w:rFonts w:asciiTheme="minorHAnsi" w:hAnsiTheme="minorHAnsi" w:cstheme="minorHAnsi"/>
                <w:lang w:eastAsia="en-US"/>
              </w:rPr>
              <w:t>42,603 (5.4%)</w:t>
            </w:r>
          </w:p>
        </w:tc>
        <w:tc>
          <w:tcPr>
            <w:tcW w:w="1664" w:type="dxa"/>
          </w:tcPr>
          <w:p w14:paraId="46B9B5E7" w14:textId="56981D87" w:rsidR="00360793" w:rsidRPr="00692F21" w:rsidRDefault="00360793" w:rsidP="0028050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692F21">
              <w:rPr>
                <w:rFonts w:asciiTheme="minorHAnsi" w:hAnsiTheme="minorHAnsi" w:cstheme="minorHAnsi"/>
                <w:lang w:eastAsia="en-US"/>
              </w:rPr>
              <w:t>42,462 (5.6%)</w:t>
            </w:r>
          </w:p>
        </w:tc>
        <w:tc>
          <w:tcPr>
            <w:tcW w:w="1664" w:type="dxa"/>
          </w:tcPr>
          <w:p w14:paraId="5D842B7E" w14:textId="24B1951E" w:rsidR="00360793" w:rsidRPr="00692F21" w:rsidRDefault="00360793" w:rsidP="0028050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692F21">
              <w:rPr>
                <w:rFonts w:asciiTheme="minorHAnsi" w:hAnsiTheme="minorHAnsi" w:cstheme="minorHAnsi"/>
                <w:lang w:eastAsia="en-US"/>
              </w:rPr>
              <w:t>43,436 (5.8%)</w:t>
            </w:r>
          </w:p>
        </w:tc>
      </w:tr>
      <w:tr w:rsidR="00360793" w14:paraId="05C4CFA9" w14:textId="77777777" w:rsidTr="00ED0F93">
        <w:trPr>
          <w:cnfStyle w:val="000000100000" w:firstRow="0" w:lastRow="0" w:firstColumn="0" w:lastColumn="0" w:oddVBand="0" w:evenVBand="0" w:oddHBand="1"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2226" w:type="dxa"/>
            <w:noWrap/>
            <w:hideMark/>
          </w:tcPr>
          <w:p w14:paraId="4B1C5663" w14:textId="77777777" w:rsidR="00360793" w:rsidRDefault="00360793" w:rsidP="00360793">
            <w:pPr>
              <w:rPr>
                <w:rFonts w:asciiTheme="minorHAnsi" w:hAnsiTheme="minorHAnsi" w:cstheme="minorHAnsi"/>
                <w:lang w:eastAsia="en-US"/>
              </w:rPr>
            </w:pPr>
            <w:r>
              <w:rPr>
                <w:rFonts w:asciiTheme="minorHAnsi" w:hAnsiTheme="minorHAnsi" w:cstheme="minorHAnsi"/>
                <w:lang w:eastAsia="en-US"/>
              </w:rPr>
              <w:t>Other</w:t>
            </w:r>
          </w:p>
        </w:tc>
        <w:tc>
          <w:tcPr>
            <w:tcW w:w="1372" w:type="dxa"/>
            <w:noWrap/>
            <w:hideMark/>
          </w:tcPr>
          <w:p w14:paraId="192ADEE5" w14:textId="701128B0" w:rsidR="00360793" w:rsidRPr="00692F21" w:rsidRDefault="00360793" w:rsidP="0028050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r w:rsidRPr="00692F21">
              <w:rPr>
                <w:rFonts w:asciiTheme="minorHAnsi" w:hAnsiTheme="minorHAnsi" w:cstheme="minorHAnsi"/>
                <w:lang w:eastAsia="en-US"/>
              </w:rPr>
              <w:t>175,321 (21.2%)</w:t>
            </w:r>
          </w:p>
        </w:tc>
        <w:tc>
          <w:tcPr>
            <w:tcW w:w="1664" w:type="dxa"/>
            <w:noWrap/>
            <w:hideMark/>
          </w:tcPr>
          <w:p w14:paraId="04100961" w14:textId="6F707B2B" w:rsidR="00360793" w:rsidRPr="00692F21" w:rsidRDefault="00360793" w:rsidP="0028050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r w:rsidRPr="00692F21">
              <w:rPr>
                <w:rFonts w:asciiTheme="minorHAnsi" w:hAnsiTheme="minorHAnsi" w:cstheme="minorHAnsi"/>
                <w:lang w:eastAsia="en-US"/>
              </w:rPr>
              <w:t>175,716 (21.2%)</w:t>
            </w:r>
          </w:p>
        </w:tc>
        <w:tc>
          <w:tcPr>
            <w:tcW w:w="1664" w:type="dxa"/>
            <w:hideMark/>
          </w:tcPr>
          <w:p w14:paraId="3BC6EB73" w14:textId="469A1412" w:rsidR="00360793" w:rsidRPr="00692F21" w:rsidRDefault="00360793" w:rsidP="0028050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r w:rsidRPr="00692F21">
              <w:rPr>
                <w:rFonts w:asciiTheme="minorHAnsi" w:hAnsiTheme="minorHAnsi" w:cstheme="minorHAnsi"/>
                <w:lang w:eastAsia="en-US"/>
              </w:rPr>
              <w:t>164,699 (21.0%)</w:t>
            </w:r>
          </w:p>
        </w:tc>
        <w:tc>
          <w:tcPr>
            <w:tcW w:w="1664" w:type="dxa"/>
            <w:hideMark/>
          </w:tcPr>
          <w:p w14:paraId="092042A1" w14:textId="63E60F03" w:rsidR="00360793" w:rsidRPr="00692F21" w:rsidRDefault="00360793" w:rsidP="0028050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r w:rsidRPr="00692F21">
              <w:rPr>
                <w:rFonts w:asciiTheme="minorHAnsi" w:hAnsiTheme="minorHAnsi" w:cstheme="minorHAnsi"/>
                <w:lang w:eastAsia="en-US"/>
              </w:rPr>
              <w:t>100,838 (13.3%)</w:t>
            </w:r>
          </w:p>
        </w:tc>
        <w:tc>
          <w:tcPr>
            <w:tcW w:w="1664" w:type="dxa"/>
            <w:hideMark/>
          </w:tcPr>
          <w:p w14:paraId="29178136" w14:textId="18ACA442" w:rsidR="00360793" w:rsidRPr="00692F21" w:rsidRDefault="00360793" w:rsidP="0028050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r w:rsidRPr="00692F21">
              <w:rPr>
                <w:rFonts w:asciiTheme="minorHAnsi" w:hAnsiTheme="minorHAnsi" w:cstheme="minorHAnsi"/>
                <w:lang w:eastAsia="en-US"/>
              </w:rPr>
              <w:t>98,171 (13.0%)</w:t>
            </w:r>
          </w:p>
        </w:tc>
      </w:tr>
    </w:tbl>
    <w:p w14:paraId="62EB1747" w14:textId="77777777" w:rsidR="005B7D43" w:rsidRDefault="005B7D43" w:rsidP="00A4528E">
      <w:pPr>
        <w:rPr>
          <w:b/>
        </w:rPr>
      </w:pPr>
    </w:p>
    <w:p w14:paraId="53D6E47F" w14:textId="77777777" w:rsidR="005B7D43" w:rsidRDefault="005B7D43">
      <w:pPr>
        <w:spacing w:before="0" w:after="200" w:line="276" w:lineRule="auto"/>
        <w:rPr>
          <w:b/>
        </w:rPr>
      </w:pPr>
      <w:r>
        <w:rPr>
          <w:b/>
        </w:rPr>
        <w:br w:type="page"/>
      </w:r>
    </w:p>
    <w:p w14:paraId="59FB0E54" w14:textId="6FE8DF99" w:rsidR="00DB6E60" w:rsidRPr="00C43897" w:rsidRDefault="00DB6E60" w:rsidP="00A4528E">
      <w:pPr>
        <w:rPr>
          <w:b/>
        </w:rPr>
      </w:pPr>
      <w:r w:rsidRPr="00C43897">
        <w:rPr>
          <w:b/>
        </w:rPr>
        <w:lastRenderedPageBreak/>
        <w:t>Recipient Age Groups</w:t>
      </w:r>
    </w:p>
    <w:tbl>
      <w:tblPr>
        <w:tblStyle w:val="GridTable5Dark-Accent1"/>
        <w:tblW w:w="10343" w:type="dxa"/>
        <w:tblLayout w:type="fixed"/>
        <w:tblLook w:val="04A0" w:firstRow="1" w:lastRow="0" w:firstColumn="1" w:lastColumn="0" w:noHBand="0" w:noVBand="1"/>
        <w:tblDescription w:val="Recipient Age Groups"/>
      </w:tblPr>
      <w:tblGrid>
        <w:gridCol w:w="1838"/>
        <w:gridCol w:w="1701"/>
        <w:gridCol w:w="1701"/>
        <w:gridCol w:w="1701"/>
        <w:gridCol w:w="1701"/>
        <w:gridCol w:w="1701"/>
      </w:tblGrid>
      <w:tr w:rsidR="00470775" w14:paraId="42764E8C" w14:textId="77777777" w:rsidTr="005B7D43">
        <w:trPr>
          <w:cnfStyle w:val="100000000000" w:firstRow="1" w:lastRow="0" w:firstColumn="0" w:lastColumn="0" w:oddVBand="0" w:evenVBand="0" w:oddHBand="0" w:evenHBand="0" w:firstRowFirstColumn="0" w:firstRowLastColumn="0" w:lastRowFirstColumn="0" w:lastRowLastColumn="0"/>
          <w:trHeight w:val="850"/>
          <w:tblHeader/>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02B88BE0" w14:textId="77777777" w:rsidR="00470775" w:rsidRPr="00692F21" w:rsidRDefault="00470775" w:rsidP="00A31C46">
            <w:pPr>
              <w:rPr>
                <w:rFonts w:asciiTheme="minorHAnsi" w:hAnsiTheme="minorHAnsi" w:cstheme="minorHAnsi"/>
                <w:b w:val="0"/>
                <w:bCs w:val="0"/>
                <w:lang w:eastAsia="en-US"/>
              </w:rPr>
            </w:pPr>
            <w:r w:rsidRPr="00692F21">
              <w:rPr>
                <w:rFonts w:asciiTheme="minorHAnsi" w:hAnsiTheme="minorHAnsi" w:cstheme="minorHAnsi"/>
                <w:b w:val="0"/>
                <w:bCs w:val="0"/>
                <w:lang w:eastAsia="en-US"/>
              </w:rPr>
              <w:t>Age Range</w:t>
            </w:r>
          </w:p>
        </w:tc>
        <w:tc>
          <w:tcPr>
            <w:tcW w:w="1701" w:type="dxa"/>
            <w:vAlign w:val="center"/>
            <w:hideMark/>
          </w:tcPr>
          <w:p w14:paraId="7CDACCD7" w14:textId="77777777" w:rsidR="00470775" w:rsidRPr="00692F21" w:rsidRDefault="00470775" w:rsidP="00A31C4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lang w:eastAsia="en-US"/>
              </w:rPr>
            </w:pPr>
            <w:r w:rsidRPr="00692F21">
              <w:rPr>
                <w:rFonts w:asciiTheme="minorHAnsi" w:hAnsiTheme="minorHAnsi" w:cstheme="minorHAnsi"/>
                <w:b w:val="0"/>
                <w:bCs w:val="0"/>
                <w:lang w:eastAsia="en-US"/>
              </w:rPr>
              <w:t>Jun 12</w:t>
            </w:r>
          </w:p>
        </w:tc>
        <w:tc>
          <w:tcPr>
            <w:tcW w:w="1701" w:type="dxa"/>
            <w:vAlign w:val="center"/>
            <w:hideMark/>
          </w:tcPr>
          <w:p w14:paraId="72D7FEFE" w14:textId="77777777" w:rsidR="00470775" w:rsidRPr="00692F21" w:rsidRDefault="00470775" w:rsidP="00A31C46">
            <w:pPr>
              <w:jc w:val="center"/>
              <w:cnfStyle w:val="100000000000" w:firstRow="1" w:lastRow="0" w:firstColumn="0" w:lastColumn="0" w:oddVBand="0" w:evenVBand="0" w:oddHBand="0" w:evenHBand="0" w:firstRowFirstColumn="0" w:firstRowLastColumn="0" w:lastRowFirstColumn="0" w:lastRowLastColumn="0"/>
              <w:rPr>
                <w:lang w:eastAsia="en-US"/>
              </w:rPr>
            </w:pPr>
            <w:r w:rsidRPr="00692F21">
              <w:rPr>
                <w:rFonts w:asciiTheme="minorHAnsi" w:hAnsiTheme="minorHAnsi" w:cstheme="minorHAnsi"/>
                <w:b w:val="0"/>
                <w:bCs w:val="0"/>
                <w:lang w:eastAsia="en-US"/>
              </w:rPr>
              <w:t>Jun 14</w:t>
            </w:r>
          </w:p>
        </w:tc>
        <w:tc>
          <w:tcPr>
            <w:tcW w:w="1701" w:type="dxa"/>
            <w:vAlign w:val="center"/>
            <w:hideMark/>
          </w:tcPr>
          <w:p w14:paraId="341A243A" w14:textId="77777777" w:rsidR="00470775" w:rsidRPr="00692F21" w:rsidRDefault="00470775" w:rsidP="00A31C46">
            <w:pPr>
              <w:jc w:val="center"/>
              <w:cnfStyle w:val="100000000000" w:firstRow="1" w:lastRow="0" w:firstColumn="0" w:lastColumn="0" w:oddVBand="0" w:evenVBand="0" w:oddHBand="0" w:evenHBand="0" w:firstRowFirstColumn="0" w:firstRowLastColumn="0" w:lastRowFirstColumn="0" w:lastRowLastColumn="0"/>
              <w:rPr>
                <w:lang w:eastAsia="en-US"/>
              </w:rPr>
            </w:pPr>
            <w:r w:rsidRPr="00692F21">
              <w:rPr>
                <w:rFonts w:asciiTheme="minorHAnsi" w:hAnsiTheme="minorHAnsi" w:cstheme="minorHAnsi"/>
                <w:b w:val="0"/>
                <w:bCs w:val="0"/>
                <w:lang w:eastAsia="en-US"/>
              </w:rPr>
              <w:t>Jun 16</w:t>
            </w:r>
          </w:p>
        </w:tc>
        <w:tc>
          <w:tcPr>
            <w:tcW w:w="1701" w:type="dxa"/>
            <w:vAlign w:val="center"/>
            <w:hideMark/>
          </w:tcPr>
          <w:p w14:paraId="316332D1" w14:textId="77777777" w:rsidR="00470775" w:rsidRPr="00692F21" w:rsidRDefault="00470775" w:rsidP="00A31C46">
            <w:pPr>
              <w:jc w:val="center"/>
              <w:cnfStyle w:val="100000000000" w:firstRow="1" w:lastRow="0" w:firstColumn="0" w:lastColumn="0" w:oddVBand="0" w:evenVBand="0" w:oddHBand="0" w:evenHBand="0" w:firstRowFirstColumn="0" w:firstRowLastColumn="0" w:lastRowFirstColumn="0" w:lastRowLastColumn="0"/>
              <w:rPr>
                <w:lang w:eastAsia="en-US"/>
              </w:rPr>
            </w:pPr>
            <w:r w:rsidRPr="00692F21">
              <w:rPr>
                <w:rFonts w:asciiTheme="minorHAnsi" w:hAnsiTheme="minorHAnsi" w:cstheme="minorHAnsi"/>
                <w:b w:val="0"/>
                <w:bCs w:val="0"/>
                <w:lang w:eastAsia="en-US"/>
              </w:rPr>
              <w:t>Jun 18</w:t>
            </w:r>
          </w:p>
        </w:tc>
        <w:tc>
          <w:tcPr>
            <w:tcW w:w="1701" w:type="dxa"/>
            <w:vAlign w:val="center"/>
            <w:hideMark/>
          </w:tcPr>
          <w:p w14:paraId="5533E21D" w14:textId="77777777" w:rsidR="00470775" w:rsidRPr="00692F21" w:rsidRDefault="00470775" w:rsidP="00A31C46">
            <w:pPr>
              <w:jc w:val="center"/>
              <w:cnfStyle w:val="100000000000" w:firstRow="1" w:lastRow="0" w:firstColumn="0" w:lastColumn="0" w:oddVBand="0" w:evenVBand="0" w:oddHBand="0" w:evenHBand="0" w:firstRowFirstColumn="0" w:firstRowLastColumn="0" w:lastRowFirstColumn="0" w:lastRowLastColumn="0"/>
              <w:rPr>
                <w:lang w:eastAsia="en-US"/>
              </w:rPr>
            </w:pPr>
            <w:r w:rsidRPr="00692F21">
              <w:rPr>
                <w:rFonts w:asciiTheme="minorHAnsi" w:hAnsiTheme="minorHAnsi" w:cstheme="minorHAnsi"/>
                <w:b w:val="0"/>
                <w:bCs w:val="0"/>
                <w:lang w:eastAsia="en-US"/>
              </w:rPr>
              <w:t>Jun 20</w:t>
            </w:r>
          </w:p>
        </w:tc>
      </w:tr>
      <w:tr w:rsidR="00470775" w14:paraId="25B8B656" w14:textId="77777777" w:rsidTr="00A31C4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838" w:type="dxa"/>
            <w:hideMark/>
          </w:tcPr>
          <w:p w14:paraId="4FB02CCC" w14:textId="77777777" w:rsidR="00470775" w:rsidRPr="00692F21" w:rsidRDefault="00470775">
            <w:pPr>
              <w:rPr>
                <w:lang w:eastAsia="en-US"/>
              </w:rPr>
            </w:pPr>
            <w:r w:rsidRPr="00692F21">
              <w:rPr>
                <w:lang w:eastAsia="en-US"/>
              </w:rPr>
              <w:t>16-24</w:t>
            </w:r>
          </w:p>
        </w:tc>
        <w:tc>
          <w:tcPr>
            <w:tcW w:w="1701" w:type="dxa"/>
            <w:vAlign w:val="center"/>
            <w:hideMark/>
          </w:tcPr>
          <w:p w14:paraId="34B36314" w14:textId="77777777" w:rsidR="00470775" w:rsidRPr="00692F21" w:rsidRDefault="00470775" w:rsidP="00A31C46">
            <w:pPr>
              <w:jc w:val="center"/>
              <w:cnfStyle w:val="000000100000" w:firstRow="0" w:lastRow="0" w:firstColumn="0" w:lastColumn="0" w:oddVBand="0" w:evenVBand="0" w:oddHBand="1" w:evenHBand="0" w:firstRowFirstColumn="0" w:firstRowLastColumn="0" w:lastRowFirstColumn="0" w:lastRowLastColumn="0"/>
              <w:rPr>
                <w:lang w:eastAsia="en-US"/>
              </w:rPr>
            </w:pPr>
            <w:r w:rsidRPr="00692F21">
              <w:rPr>
                <w:lang w:eastAsia="en-US"/>
              </w:rPr>
              <w:t>54,744</w:t>
            </w:r>
            <w:r w:rsidRPr="00692F21">
              <w:rPr>
                <w:lang w:eastAsia="en-US"/>
              </w:rPr>
              <w:br/>
              <w:t>(6.7%)</w:t>
            </w:r>
          </w:p>
        </w:tc>
        <w:tc>
          <w:tcPr>
            <w:tcW w:w="1701" w:type="dxa"/>
            <w:vAlign w:val="center"/>
            <w:hideMark/>
          </w:tcPr>
          <w:p w14:paraId="77DBAEC5" w14:textId="62B9760D" w:rsidR="00470775" w:rsidRPr="00692F21" w:rsidRDefault="00470775" w:rsidP="00A31C46">
            <w:pPr>
              <w:jc w:val="center"/>
              <w:cnfStyle w:val="000000100000" w:firstRow="0" w:lastRow="0" w:firstColumn="0" w:lastColumn="0" w:oddVBand="0" w:evenVBand="0" w:oddHBand="1" w:evenHBand="0" w:firstRowFirstColumn="0" w:firstRowLastColumn="0" w:lastRowFirstColumn="0" w:lastRowLastColumn="0"/>
              <w:rPr>
                <w:lang w:eastAsia="en-US"/>
              </w:rPr>
            </w:pPr>
            <w:r w:rsidRPr="00692F21">
              <w:rPr>
                <w:lang w:eastAsia="en-US"/>
              </w:rPr>
              <w:t>55,587</w:t>
            </w:r>
            <w:r w:rsidR="00A31C46" w:rsidRPr="00692F21">
              <w:rPr>
                <w:lang w:eastAsia="en-US"/>
              </w:rPr>
              <w:br/>
            </w:r>
            <w:r w:rsidRPr="00692F21">
              <w:rPr>
                <w:lang w:eastAsia="en-US"/>
              </w:rPr>
              <w:t xml:space="preserve"> (6.7%)</w:t>
            </w:r>
          </w:p>
        </w:tc>
        <w:tc>
          <w:tcPr>
            <w:tcW w:w="1701" w:type="dxa"/>
            <w:vAlign w:val="center"/>
            <w:hideMark/>
          </w:tcPr>
          <w:p w14:paraId="66A8422C" w14:textId="29976E8A" w:rsidR="00470775" w:rsidRPr="00692F21" w:rsidRDefault="00470775" w:rsidP="00A31C46">
            <w:pPr>
              <w:jc w:val="center"/>
              <w:cnfStyle w:val="000000100000" w:firstRow="0" w:lastRow="0" w:firstColumn="0" w:lastColumn="0" w:oddVBand="0" w:evenVBand="0" w:oddHBand="1" w:evenHBand="0" w:firstRowFirstColumn="0" w:firstRowLastColumn="0" w:lastRowFirstColumn="0" w:lastRowLastColumn="0"/>
              <w:rPr>
                <w:lang w:eastAsia="en-US"/>
              </w:rPr>
            </w:pPr>
            <w:r w:rsidRPr="00692F21">
              <w:rPr>
                <w:lang w:eastAsia="en-US"/>
              </w:rPr>
              <w:t>49,656</w:t>
            </w:r>
            <w:r w:rsidR="00A31C46" w:rsidRPr="00692F21">
              <w:rPr>
                <w:lang w:eastAsia="en-US"/>
              </w:rPr>
              <w:br/>
            </w:r>
            <w:r w:rsidRPr="00692F21">
              <w:rPr>
                <w:lang w:eastAsia="en-US"/>
              </w:rPr>
              <w:t xml:space="preserve"> (6.4%)</w:t>
            </w:r>
          </w:p>
        </w:tc>
        <w:tc>
          <w:tcPr>
            <w:tcW w:w="1701" w:type="dxa"/>
            <w:vAlign w:val="center"/>
            <w:hideMark/>
          </w:tcPr>
          <w:p w14:paraId="690E3ED3" w14:textId="2E672EF1" w:rsidR="00470775" w:rsidRPr="00692F21" w:rsidRDefault="00470775" w:rsidP="00A31C46">
            <w:pPr>
              <w:jc w:val="center"/>
              <w:cnfStyle w:val="000000100000" w:firstRow="0" w:lastRow="0" w:firstColumn="0" w:lastColumn="0" w:oddVBand="0" w:evenVBand="0" w:oddHBand="1" w:evenHBand="0" w:firstRowFirstColumn="0" w:firstRowLastColumn="0" w:lastRowFirstColumn="0" w:lastRowLastColumn="0"/>
              <w:rPr>
                <w:lang w:eastAsia="en-US"/>
              </w:rPr>
            </w:pPr>
            <w:r w:rsidRPr="00692F21">
              <w:rPr>
                <w:lang w:eastAsia="en-US"/>
              </w:rPr>
              <w:t>46,811</w:t>
            </w:r>
            <w:r w:rsidR="00A31C46" w:rsidRPr="00692F21">
              <w:rPr>
                <w:lang w:eastAsia="en-US"/>
              </w:rPr>
              <w:br/>
            </w:r>
            <w:r w:rsidRPr="00692F21">
              <w:rPr>
                <w:lang w:eastAsia="en-US"/>
              </w:rPr>
              <w:t>(6.2%)</w:t>
            </w:r>
          </w:p>
        </w:tc>
        <w:tc>
          <w:tcPr>
            <w:tcW w:w="1701" w:type="dxa"/>
            <w:vAlign w:val="center"/>
            <w:hideMark/>
          </w:tcPr>
          <w:p w14:paraId="5A19AAC2" w14:textId="2F94704A" w:rsidR="00470775" w:rsidRPr="00692F21" w:rsidRDefault="00470775" w:rsidP="00A31C46">
            <w:pPr>
              <w:jc w:val="center"/>
              <w:cnfStyle w:val="000000100000" w:firstRow="0" w:lastRow="0" w:firstColumn="0" w:lastColumn="0" w:oddVBand="0" w:evenVBand="0" w:oddHBand="1" w:evenHBand="0" w:firstRowFirstColumn="0" w:firstRowLastColumn="0" w:lastRowFirstColumn="0" w:lastRowLastColumn="0"/>
              <w:rPr>
                <w:lang w:eastAsia="en-US"/>
              </w:rPr>
            </w:pPr>
            <w:r w:rsidRPr="00692F21">
              <w:rPr>
                <w:lang w:eastAsia="en-US"/>
              </w:rPr>
              <w:t>47,670</w:t>
            </w:r>
            <w:r w:rsidR="00A31C46" w:rsidRPr="00692F21">
              <w:rPr>
                <w:lang w:eastAsia="en-US"/>
              </w:rPr>
              <w:br/>
            </w:r>
            <w:r w:rsidRPr="00692F21">
              <w:rPr>
                <w:lang w:eastAsia="en-US"/>
              </w:rPr>
              <w:t>(6.3%)</w:t>
            </w:r>
          </w:p>
        </w:tc>
      </w:tr>
      <w:tr w:rsidR="00470775" w14:paraId="59B76F19" w14:textId="77777777" w:rsidTr="00A31C46">
        <w:trPr>
          <w:trHeight w:val="850"/>
        </w:trPr>
        <w:tc>
          <w:tcPr>
            <w:cnfStyle w:val="001000000000" w:firstRow="0" w:lastRow="0" w:firstColumn="1" w:lastColumn="0" w:oddVBand="0" w:evenVBand="0" w:oddHBand="0" w:evenHBand="0" w:firstRowFirstColumn="0" w:firstRowLastColumn="0" w:lastRowFirstColumn="0" w:lastRowLastColumn="0"/>
            <w:tcW w:w="1838" w:type="dxa"/>
            <w:hideMark/>
          </w:tcPr>
          <w:p w14:paraId="3A37BD43" w14:textId="77777777" w:rsidR="00470775" w:rsidRPr="00692F21" w:rsidRDefault="00470775">
            <w:pPr>
              <w:rPr>
                <w:lang w:eastAsia="en-US"/>
              </w:rPr>
            </w:pPr>
            <w:r w:rsidRPr="00692F21">
              <w:rPr>
                <w:lang w:eastAsia="en-US"/>
              </w:rPr>
              <w:t>25-34</w:t>
            </w:r>
          </w:p>
        </w:tc>
        <w:tc>
          <w:tcPr>
            <w:tcW w:w="1701" w:type="dxa"/>
            <w:vAlign w:val="center"/>
            <w:hideMark/>
          </w:tcPr>
          <w:p w14:paraId="076479C7" w14:textId="77777777" w:rsidR="00470775" w:rsidRPr="00692F21" w:rsidRDefault="00470775" w:rsidP="00A31C46">
            <w:pPr>
              <w:jc w:val="center"/>
              <w:cnfStyle w:val="000000000000" w:firstRow="0" w:lastRow="0" w:firstColumn="0" w:lastColumn="0" w:oddVBand="0" w:evenVBand="0" w:oddHBand="0" w:evenHBand="0" w:firstRowFirstColumn="0" w:firstRowLastColumn="0" w:lastRowFirstColumn="0" w:lastRowLastColumn="0"/>
              <w:rPr>
                <w:lang w:eastAsia="en-US"/>
              </w:rPr>
            </w:pPr>
            <w:r w:rsidRPr="00692F21">
              <w:rPr>
                <w:lang w:eastAsia="en-US"/>
              </w:rPr>
              <w:t>81,826</w:t>
            </w:r>
            <w:r w:rsidRPr="00692F21">
              <w:rPr>
                <w:lang w:eastAsia="en-US"/>
              </w:rPr>
              <w:br/>
              <w:t>(9.9%)</w:t>
            </w:r>
          </w:p>
        </w:tc>
        <w:tc>
          <w:tcPr>
            <w:tcW w:w="1701" w:type="dxa"/>
            <w:vAlign w:val="center"/>
            <w:hideMark/>
          </w:tcPr>
          <w:p w14:paraId="0A173A50" w14:textId="03621EEF" w:rsidR="00470775" w:rsidRPr="00692F21" w:rsidRDefault="00470775" w:rsidP="00A31C46">
            <w:pPr>
              <w:jc w:val="center"/>
              <w:cnfStyle w:val="000000000000" w:firstRow="0" w:lastRow="0" w:firstColumn="0" w:lastColumn="0" w:oddVBand="0" w:evenVBand="0" w:oddHBand="0" w:evenHBand="0" w:firstRowFirstColumn="0" w:firstRowLastColumn="0" w:lastRowFirstColumn="0" w:lastRowLastColumn="0"/>
              <w:rPr>
                <w:lang w:eastAsia="en-US"/>
              </w:rPr>
            </w:pPr>
            <w:r w:rsidRPr="00692F21">
              <w:rPr>
                <w:lang w:eastAsia="en-US"/>
              </w:rPr>
              <w:t>84,149</w:t>
            </w:r>
            <w:r w:rsidR="00A31C46" w:rsidRPr="00692F21">
              <w:rPr>
                <w:lang w:eastAsia="en-US"/>
              </w:rPr>
              <w:br/>
            </w:r>
            <w:r w:rsidRPr="00692F21">
              <w:rPr>
                <w:lang w:eastAsia="en-US"/>
              </w:rPr>
              <w:t>(10.2%)</w:t>
            </w:r>
          </w:p>
        </w:tc>
        <w:tc>
          <w:tcPr>
            <w:tcW w:w="1701" w:type="dxa"/>
            <w:vAlign w:val="center"/>
            <w:hideMark/>
          </w:tcPr>
          <w:p w14:paraId="763F2EAE" w14:textId="0C087ED6" w:rsidR="00470775" w:rsidRPr="00692F21" w:rsidRDefault="00470775" w:rsidP="00A31C46">
            <w:pPr>
              <w:jc w:val="center"/>
              <w:cnfStyle w:val="000000000000" w:firstRow="0" w:lastRow="0" w:firstColumn="0" w:lastColumn="0" w:oddVBand="0" w:evenVBand="0" w:oddHBand="0" w:evenHBand="0" w:firstRowFirstColumn="0" w:firstRowLastColumn="0" w:lastRowFirstColumn="0" w:lastRowLastColumn="0"/>
              <w:rPr>
                <w:lang w:eastAsia="en-US"/>
              </w:rPr>
            </w:pPr>
            <w:r w:rsidRPr="00692F21">
              <w:rPr>
                <w:lang w:eastAsia="en-US"/>
              </w:rPr>
              <w:t>78,790</w:t>
            </w:r>
            <w:r w:rsidR="00A31C46" w:rsidRPr="00692F21">
              <w:rPr>
                <w:lang w:eastAsia="en-US"/>
              </w:rPr>
              <w:br/>
            </w:r>
            <w:r w:rsidRPr="00692F21">
              <w:rPr>
                <w:lang w:eastAsia="en-US"/>
              </w:rPr>
              <w:t>(10.1%)</w:t>
            </w:r>
          </w:p>
        </w:tc>
        <w:tc>
          <w:tcPr>
            <w:tcW w:w="1701" w:type="dxa"/>
            <w:vAlign w:val="center"/>
            <w:hideMark/>
          </w:tcPr>
          <w:p w14:paraId="1241C9D0" w14:textId="4EC6B315" w:rsidR="00470775" w:rsidRPr="00692F21" w:rsidRDefault="00470775" w:rsidP="00A31C46">
            <w:pPr>
              <w:jc w:val="center"/>
              <w:cnfStyle w:val="000000000000" w:firstRow="0" w:lastRow="0" w:firstColumn="0" w:lastColumn="0" w:oddVBand="0" w:evenVBand="0" w:oddHBand="0" w:evenHBand="0" w:firstRowFirstColumn="0" w:firstRowLastColumn="0" w:lastRowFirstColumn="0" w:lastRowLastColumn="0"/>
              <w:rPr>
                <w:lang w:eastAsia="en-US"/>
              </w:rPr>
            </w:pPr>
            <w:r w:rsidRPr="00692F21">
              <w:rPr>
                <w:lang w:eastAsia="en-US"/>
              </w:rPr>
              <w:t>77,186</w:t>
            </w:r>
            <w:r w:rsidR="00A31C46" w:rsidRPr="00692F21">
              <w:rPr>
                <w:lang w:eastAsia="en-US"/>
              </w:rPr>
              <w:br/>
            </w:r>
            <w:r w:rsidRPr="00692F21">
              <w:rPr>
                <w:lang w:eastAsia="en-US"/>
              </w:rPr>
              <w:t>(10.3%)</w:t>
            </w:r>
          </w:p>
        </w:tc>
        <w:tc>
          <w:tcPr>
            <w:tcW w:w="1701" w:type="dxa"/>
            <w:vAlign w:val="center"/>
            <w:hideMark/>
          </w:tcPr>
          <w:p w14:paraId="5AB12A7A" w14:textId="3B1686AD" w:rsidR="00470775" w:rsidRPr="00692F21" w:rsidRDefault="00470775" w:rsidP="00A31C46">
            <w:pPr>
              <w:jc w:val="center"/>
              <w:cnfStyle w:val="000000000000" w:firstRow="0" w:lastRow="0" w:firstColumn="0" w:lastColumn="0" w:oddVBand="0" w:evenVBand="0" w:oddHBand="0" w:evenHBand="0" w:firstRowFirstColumn="0" w:firstRowLastColumn="0" w:lastRowFirstColumn="0" w:lastRowLastColumn="0"/>
              <w:rPr>
                <w:lang w:eastAsia="en-US"/>
              </w:rPr>
            </w:pPr>
            <w:r w:rsidRPr="00692F21">
              <w:rPr>
                <w:lang w:eastAsia="en-US"/>
              </w:rPr>
              <w:t>79,057</w:t>
            </w:r>
            <w:r w:rsidR="00A31C46" w:rsidRPr="00692F21">
              <w:rPr>
                <w:lang w:eastAsia="en-US"/>
              </w:rPr>
              <w:br/>
            </w:r>
            <w:r w:rsidRPr="00692F21">
              <w:rPr>
                <w:lang w:eastAsia="en-US"/>
              </w:rPr>
              <w:t>(10.5%)</w:t>
            </w:r>
          </w:p>
        </w:tc>
      </w:tr>
      <w:tr w:rsidR="00470775" w14:paraId="7BB7DA89" w14:textId="77777777" w:rsidTr="00A31C4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838" w:type="dxa"/>
            <w:hideMark/>
          </w:tcPr>
          <w:p w14:paraId="6D2E0325" w14:textId="77777777" w:rsidR="00470775" w:rsidRPr="00692F21" w:rsidRDefault="00470775">
            <w:pPr>
              <w:rPr>
                <w:lang w:eastAsia="en-US"/>
              </w:rPr>
            </w:pPr>
            <w:r w:rsidRPr="00692F21">
              <w:rPr>
                <w:lang w:eastAsia="en-US"/>
              </w:rPr>
              <w:t>35-44</w:t>
            </w:r>
          </w:p>
        </w:tc>
        <w:tc>
          <w:tcPr>
            <w:tcW w:w="1701" w:type="dxa"/>
            <w:vAlign w:val="center"/>
            <w:hideMark/>
          </w:tcPr>
          <w:p w14:paraId="193BA651" w14:textId="77777777" w:rsidR="00470775" w:rsidRPr="00692F21" w:rsidRDefault="00470775" w:rsidP="00A31C46">
            <w:pPr>
              <w:jc w:val="center"/>
              <w:cnfStyle w:val="000000100000" w:firstRow="0" w:lastRow="0" w:firstColumn="0" w:lastColumn="0" w:oddVBand="0" w:evenVBand="0" w:oddHBand="1" w:evenHBand="0" w:firstRowFirstColumn="0" w:firstRowLastColumn="0" w:lastRowFirstColumn="0" w:lastRowLastColumn="0"/>
              <w:rPr>
                <w:lang w:eastAsia="en-US"/>
              </w:rPr>
            </w:pPr>
            <w:r w:rsidRPr="00692F21">
              <w:rPr>
                <w:lang w:eastAsia="en-US"/>
              </w:rPr>
              <w:t>131,411</w:t>
            </w:r>
            <w:r w:rsidRPr="00692F21">
              <w:rPr>
                <w:lang w:eastAsia="en-US"/>
              </w:rPr>
              <w:br/>
              <w:t>(15.9%)</w:t>
            </w:r>
          </w:p>
        </w:tc>
        <w:tc>
          <w:tcPr>
            <w:tcW w:w="1701" w:type="dxa"/>
            <w:vAlign w:val="center"/>
            <w:hideMark/>
          </w:tcPr>
          <w:p w14:paraId="5A505611" w14:textId="77777777" w:rsidR="00470775" w:rsidRPr="00692F21" w:rsidRDefault="00470775" w:rsidP="00A31C46">
            <w:pPr>
              <w:jc w:val="center"/>
              <w:cnfStyle w:val="000000100000" w:firstRow="0" w:lastRow="0" w:firstColumn="0" w:lastColumn="0" w:oddVBand="0" w:evenVBand="0" w:oddHBand="1" w:evenHBand="0" w:firstRowFirstColumn="0" w:firstRowLastColumn="0" w:lastRowFirstColumn="0" w:lastRowLastColumn="0"/>
              <w:rPr>
                <w:lang w:eastAsia="en-US"/>
              </w:rPr>
            </w:pPr>
            <w:r w:rsidRPr="00692F21">
              <w:rPr>
                <w:lang w:eastAsia="en-US"/>
              </w:rPr>
              <w:t>127,795 (15.5%)</w:t>
            </w:r>
          </w:p>
        </w:tc>
        <w:tc>
          <w:tcPr>
            <w:tcW w:w="1701" w:type="dxa"/>
            <w:vAlign w:val="center"/>
            <w:hideMark/>
          </w:tcPr>
          <w:p w14:paraId="1C5DB37D" w14:textId="77777777" w:rsidR="00470775" w:rsidRPr="00692F21" w:rsidRDefault="00470775" w:rsidP="00A31C46">
            <w:pPr>
              <w:jc w:val="center"/>
              <w:cnfStyle w:val="000000100000" w:firstRow="0" w:lastRow="0" w:firstColumn="0" w:lastColumn="0" w:oddVBand="0" w:evenVBand="0" w:oddHBand="1" w:evenHBand="0" w:firstRowFirstColumn="0" w:firstRowLastColumn="0" w:lastRowFirstColumn="0" w:lastRowLastColumn="0"/>
              <w:rPr>
                <w:lang w:eastAsia="en-US"/>
              </w:rPr>
            </w:pPr>
            <w:r w:rsidRPr="00692F21">
              <w:rPr>
                <w:lang w:eastAsia="en-US"/>
              </w:rPr>
              <w:t>115,422 (14.9%)</w:t>
            </w:r>
          </w:p>
        </w:tc>
        <w:tc>
          <w:tcPr>
            <w:tcW w:w="1701" w:type="dxa"/>
            <w:vAlign w:val="center"/>
            <w:hideMark/>
          </w:tcPr>
          <w:p w14:paraId="217DC1EE" w14:textId="77777777" w:rsidR="00470775" w:rsidRPr="00692F21" w:rsidRDefault="00470775" w:rsidP="00A31C46">
            <w:pPr>
              <w:jc w:val="center"/>
              <w:cnfStyle w:val="000000100000" w:firstRow="0" w:lastRow="0" w:firstColumn="0" w:lastColumn="0" w:oddVBand="0" w:evenVBand="0" w:oddHBand="1" w:evenHBand="0" w:firstRowFirstColumn="0" w:firstRowLastColumn="0" w:lastRowFirstColumn="0" w:lastRowLastColumn="0"/>
              <w:rPr>
                <w:lang w:eastAsia="en-US"/>
              </w:rPr>
            </w:pPr>
            <w:r w:rsidRPr="00692F21">
              <w:rPr>
                <w:lang w:eastAsia="en-US"/>
              </w:rPr>
              <w:t>104,948 (14.0%)</w:t>
            </w:r>
          </w:p>
        </w:tc>
        <w:tc>
          <w:tcPr>
            <w:tcW w:w="1701" w:type="dxa"/>
            <w:vAlign w:val="center"/>
            <w:hideMark/>
          </w:tcPr>
          <w:p w14:paraId="4DEC4249" w14:textId="77777777" w:rsidR="00470775" w:rsidRPr="00692F21" w:rsidRDefault="00470775" w:rsidP="00A31C46">
            <w:pPr>
              <w:jc w:val="center"/>
              <w:cnfStyle w:val="000000100000" w:firstRow="0" w:lastRow="0" w:firstColumn="0" w:lastColumn="0" w:oddVBand="0" w:evenVBand="0" w:oddHBand="1" w:evenHBand="0" w:firstRowFirstColumn="0" w:firstRowLastColumn="0" w:lastRowFirstColumn="0" w:lastRowLastColumn="0"/>
              <w:rPr>
                <w:lang w:eastAsia="en-US"/>
              </w:rPr>
            </w:pPr>
            <w:r w:rsidRPr="00692F21">
              <w:rPr>
                <w:lang w:eastAsia="en-US"/>
              </w:rPr>
              <w:t>100,663 (13.4%)</w:t>
            </w:r>
          </w:p>
        </w:tc>
      </w:tr>
      <w:tr w:rsidR="00470775" w14:paraId="08DA9363" w14:textId="77777777" w:rsidTr="00A31C46">
        <w:trPr>
          <w:trHeight w:val="850"/>
        </w:trPr>
        <w:tc>
          <w:tcPr>
            <w:cnfStyle w:val="001000000000" w:firstRow="0" w:lastRow="0" w:firstColumn="1" w:lastColumn="0" w:oddVBand="0" w:evenVBand="0" w:oddHBand="0" w:evenHBand="0" w:firstRowFirstColumn="0" w:firstRowLastColumn="0" w:lastRowFirstColumn="0" w:lastRowLastColumn="0"/>
            <w:tcW w:w="1838" w:type="dxa"/>
            <w:hideMark/>
          </w:tcPr>
          <w:p w14:paraId="5747A8D0" w14:textId="77777777" w:rsidR="00470775" w:rsidRPr="00692F21" w:rsidRDefault="00470775">
            <w:pPr>
              <w:rPr>
                <w:lang w:eastAsia="en-US"/>
              </w:rPr>
            </w:pPr>
            <w:r w:rsidRPr="00692F21">
              <w:rPr>
                <w:lang w:eastAsia="en-US"/>
              </w:rPr>
              <w:t>45-54</w:t>
            </w:r>
          </w:p>
        </w:tc>
        <w:tc>
          <w:tcPr>
            <w:tcW w:w="1701" w:type="dxa"/>
            <w:vAlign w:val="center"/>
            <w:hideMark/>
          </w:tcPr>
          <w:p w14:paraId="732414E4" w14:textId="77777777" w:rsidR="00470775" w:rsidRPr="00692F21" w:rsidRDefault="00470775" w:rsidP="00A31C46">
            <w:pPr>
              <w:jc w:val="center"/>
              <w:cnfStyle w:val="000000000000" w:firstRow="0" w:lastRow="0" w:firstColumn="0" w:lastColumn="0" w:oddVBand="0" w:evenVBand="0" w:oddHBand="0" w:evenHBand="0" w:firstRowFirstColumn="0" w:firstRowLastColumn="0" w:lastRowFirstColumn="0" w:lastRowLastColumn="0"/>
              <w:rPr>
                <w:lang w:eastAsia="en-US"/>
              </w:rPr>
            </w:pPr>
            <w:r w:rsidRPr="00692F21">
              <w:rPr>
                <w:lang w:eastAsia="en-US"/>
              </w:rPr>
              <w:t>213,328</w:t>
            </w:r>
            <w:r w:rsidRPr="00692F21">
              <w:rPr>
                <w:lang w:eastAsia="en-US"/>
              </w:rPr>
              <w:br/>
              <w:t>(25.7%)</w:t>
            </w:r>
          </w:p>
        </w:tc>
        <w:tc>
          <w:tcPr>
            <w:tcW w:w="1701" w:type="dxa"/>
            <w:vAlign w:val="center"/>
            <w:hideMark/>
          </w:tcPr>
          <w:p w14:paraId="71627AF5" w14:textId="77777777" w:rsidR="00470775" w:rsidRPr="00692F21" w:rsidRDefault="00470775" w:rsidP="00A31C46">
            <w:pPr>
              <w:jc w:val="center"/>
              <w:cnfStyle w:val="000000000000" w:firstRow="0" w:lastRow="0" w:firstColumn="0" w:lastColumn="0" w:oddVBand="0" w:evenVBand="0" w:oddHBand="0" w:evenHBand="0" w:firstRowFirstColumn="0" w:firstRowLastColumn="0" w:lastRowFirstColumn="0" w:lastRowLastColumn="0"/>
              <w:rPr>
                <w:lang w:eastAsia="en-US"/>
              </w:rPr>
            </w:pPr>
            <w:r w:rsidRPr="00692F21">
              <w:rPr>
                <w:lang w:eastAsia="en-US"/>
              </w:rPr>
              <w:t>207,856 (25.1%)</w:t>
            </w:r>
          </w:p>
        </w:tc>
        <w:tc>
          <w:tcPr>
            <w:tcW w:w="1701" w:type="dxa"/>
            <w:vAlign w:val="center"/>
            <w:hideMark/>
          </w:tcPr>
          <w:p w14:paraId="1DE8A59F" w14:textId="77777777" w:rsidR="00470775" w:rsidRPr="00692F21" w:rsidRDefault="00470775" w:rsidP="00A31C46">
            <w:pPr>
              <w:jc w:val="center"/>
              <w:cnfStyle w:val="000000000000" w:firstRow="0" w:lastRow="0" w:firstColumn="0" w:lastColumn="0" w:oddVBand="0" w:evenVBand="0" w:oddHBand="0" w:evenHBand="0" w:firstRowFirstColumn="0" w:firstRowLastColumn="0" w:lastRowFirstColumn="0" w:lastRowLastColumn="0"/>
              <w:rPr>
                <w:lang w:eastAsia="en-US"/>
              </w:rPr>
            </w:pPr>
            <w:r w:rsidRPr="00692F21">
              <w:rPr>
                <w:lang w:eastAsia="en-US"/>
              </w:rPr>
              <w:t>193,622 (24.9%)</w:t>
            </w:r>
          </w:p>
        </w:tc>
        <w:tc>
          <w:tcPr>
            <w:tcW w:w="1701" w:type="dxa"/>
            <w:vAlign w:val="center"/>
            <w:hideMark/>
          </w:tcPr>
          <w:p w14:paraId="3DA89945" w14:textId="77777777" w:rsidR="00470775" w:rsidRPr="00692F21" w:rsidRDefault="00470775" w:rsidP="00A31C46">
            <w:pPr>
              <w:jc w:val="center"/>
              <w:cnfStyle w:val="000000000000" w:firstRow="0" w:lastRow="0" w:firstColumn="0" w:lastColumn="0" w:oddVBand="0" w:evenVBand="0" w:oddHBand="0" w:evenHBand="0" w:firstRowFirstColumn="0" w:firstRowLastColumn="0" w:lastRowFirstColumn="0" w:lastRowLastColumn="0"/>
              <w:rPr>
                <w:lang w:eastAsia="en-US"/>
              </w:rPr>
            </w:pPr>
            <w:r w:rsidRPr="00692F21">
              <w:rPr>
                <w:lang w:eastAsia="en-US"/>
              </w:rPr>
              <w:t>178,841 (23.8%)</w:t>
            </w:r>
          </w:p>
        </w:tc>
        <w:tc>
          <w:tcPr>
            <w:tcW w:w="1701" w:type="dxa"/>
            <w:vAlign w:val="center"/>
            <w:hideMark/>
          </w:tcPr>
          <w:p w14:paraId="6C8A187E" w14:textId="77777777" w:rsidR="00470775" w:rsidRPr="00692F21" w:rsidRDefault="00470775" w:rsidP="00A31C46">
            <w:pPr>
              <w:jc w:val="center"/>
              <w:cnfStyle w:val="000000000000" w:firstRow="0" w:lastRow="0" w:firstColumn="0" w:lastColumn="0" w:oddVBand="0" w:evenVBand="0" w:oddHBand="0" w:evenHBand="0" w:firstRowFirstColumn="0" w:firstRowLastColumn="0" w:lastRowFirstColumn="0" w:lastRowLastColumn="0"/>
              <w:rPr>
                <w:lang w:eastAsia="en-US"/>
              </w:rPr>
            </w:pPr>
            <w:r w:rsidRPr="00692F21">
              <w:rPr>
                <w:lang w:eastAsia="en-US"/>
              </w:rPr>
              <w:t>168,724 (22.4%)</w:t>
            </w:r>
          </w:p>
        </w:tc>
      </w:tr>
      <w:tr w:rsidR="00470775" w14:paraId="3DBE6792" w14:textId="77777777" w:rsidTr="00A31C4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838" w:type="dxa"/>
            <w:hideMark/>
          </w:tcPr>
          <w:p w14:paraId="4454E8F3" w14:textId="77777777" w:rsidR="00470775" w:rsidRPr="00692F21" w:rsidRDefault="00470775">
            <w:pPr>
              <w:rPr>
                <w:lang w:eastAsia="en-US"/>
              </w:rPr>
            </w:pPr>
            <w:r w:rsidRPr="00692F21">
              <w:rPr>
                <w:lang w:eastAsia="en-US"/>
              </w:rPr>
              <w:t>55-64</w:t>
            </w:r>
          </w:p>
        </w:tc>
        <w:tc>
          <w:tcPr>
            <w:tcW w:w="1701" w:type="dxa"/>
            <w:vAlign w:val="center"/>
            <w:hideMark/>
          </w:tcPr>
          <w:p w14:paraId="08797DA9" w14:textId="77777777" w:rsidR="00470775" w:rsidRPr="00692F21" w:rsidRDefault="00470775" w:rsidP="00A31C46">
            <w:pPr>
              <w:jc w:val="center"/>
              <w:cnfStyle w:val="000000100000" w:firstRow="0" w:lastRow="0" w:firstColumn="0" w:lastColumn="0" w:oddVBand="0" w:evenVBand="0" w:oddHBand="1" w:evenHBand="0" w:firstRowFirstColumn="0" w:firstRowLastColumn="0" w:lastRowFirstColumn="0" w:lastRowLastColumn="0"/>
              <w:rPr>
                <w:lang w:eastAsia="en-US"/>
              </w:rPr>
            </w:pPr>
            <w:r w:rsidRPr="00692F21">
              <w:rPr>
                <w:lang w:eastAsia="en-US"/>
              </w:rPr>
              <w:t>320,378</w:t>
            </w:r>
            <w:r w:rsidRPr="00692F21">
              <w:rPr>
                <w:lang w:eastAsia="en-US"/>
              </w:rPr>
              <w:br/>
              <w:t>(38.7%)</w:t>
            </w:r>
          </w:p>
        </w:tc>
        <w:tc>
          <w:tcPr>
            <w:tcW w:w="1701" w:type="dxa"/>
            <w:vAlign w:val="center"/>
            <w:hideMark/>
          </w:tcPr>
          <w:p w14:paraId="3701E188" w14:textId="77777777" w:rsidR="00470775" w:rsidRPr="00692F21" w:rsidRDefault="00470775" w:rsidP="00A31C46">
            <w:pPr>
              <w:jc w:val="center"/>
              <w:cnfStyle w:val="000000100000" w:firstRow="0" w:lastRow="0" w:firstColumn="0" w:lastColumn="0" w:oddVBand="0" w:evenVBand="0" w:oddHBand="1" w:evenHBand="0" w:firstRowFirstColumn="0" w:firstRowLastColumn="0" w:lastRowFirstColumn="0" w:lastRowLastColumn="0"/>
              <w:rPr>
                <w:lang w:eastAsia="en-US"/>
              </w:rPr>
            </w:pPr>
            <w:r w:rsidRPr="00692F21">
              <w:rPr>
                <w:lang w:eastAsia="en-US"/>
              </w:rPr>
              <w:t>314,111 (38.0%)</w:t>
            </w:r>
          </w:p>
        </w:tc>
        <w:tc>
          <w:tcPr>
            <w:tcW w:w="1701" w:type="dxa"/>
            <w:vAlign w:val="center"/>
            <w:hideMark/>
          </w:tcPr>
          <w:p w14:paraId="566D66F9" w14:textId="46D84FEB" w:rsidR="00470775" w:rsidRPr="00692F21" w:rsidRDefault="00470775" w:rsidP="00A31C46">
            <w:pPr>
              <w:jc w:val="center"/>
              <w:cnfStyle w:val="000000100000" w:firstRow="0" w:lastRow="0" w:firstColumn="0" w:lastColumn="0" w:oddVBand="0" w:evenVBand="0" w:oddHBand="1" w:evenHBand="0" w:firstRowFirstColumn="0" w:firstRowLastColumn="0" w:lastRowFirstColumn="0" w:lastRowLastColumn="0"/>
              <w:rPr>
                <w:lang w:eastAsia="en-US"/>
              </w:rPr>
            </w:pPr>
            <w:r w:rsidRPr="00692F21">
              <w:rPr>
                <w:lang w:eastAsia="en-US"/>
              </w:rPr>
              <w:t>291,351 (37.5%</w:t>
            </w:r>
            <w:r w:rsidR="000E4ED8" w:rsidRPr="00692F21">
              <w:rPr>
                <w:lang w:eastAsia="en-US"/>
              </w:rPr>
              <w:t>)</w:t>
            </w:r>
          </w:p>
        </w:tc>
        <w:tc>
          <w:tcPr>
            <w:tcW w:w="1701" w:type="dxa"/>
            <w:vAlign w:val="center"/>
            <w:hideMark/>
          </w:tcPr>
          <w:p w14:paraId="2A7B395E" w14:textId="77777777" w:rsidR="00470775" w:rsidRPr="00692F21" w:rsidRDefault="00470775" w:rsidP="00A31C46">
            <w:pPr>
              <w:jc w:val="center"/>
              <w:cnfStyle w:val="000000100000" w:firstRow="0" w:lastRow="0" w:firstColumn="0" w:lastColumn="0" w:oddVBand="0" w:evenVBand="0" w:oddHBand="1" w:evenHBand="0" w:firstRowFirstColumn="0" w:firstRowLastColumn="0" w:lastRowFirstColumn="0" w:lastRowLastColumn="0"/>
              <w:rPr>
                <w:lang w:eastAsia="en-US"/>
              </w:rPr>
            </w:pPr>
            <w:r w:rsidRPr="00692F21">
              <w:rPr>
                <w:lang w:eastAsia="en-US"/>
              </w:rPr>
              <w:t>272,095 (36.2%)</w:t>
            </w:r>
          </w:p>
        </w:tc>
        <w:tc>
          <w:tcPr>
            <w:tcW w:w="1701" w:type="dxa"/>
            <w:vAlign w:val="center"/>
            <w:hideMark/>
          </w:tcPr>
          <w:p w14:paraId="4B19F44F" w14:textId="77777777" w:rsidR="00470775" w:rsidRPr="00692F21" w:rsidRDefault="00470775" w:rsidP="00A31C46">
            <w:pPr>
              <w:jc w:val="center"/>
              <w:cnfStyle w:val="000000100000" w:firstRow="0" w:lastRow="0" w:firstColumn="0" w:lastColumn="0" w:oddVBand="0" w:evenVBand="0" w:oddHBand="1" w:evenHBand="0" w:firstRowFirstColumn="0" w:firstRowLastColumn="0" w:lastRowFirstColumn="0" w:lastRowLastColumn="0"/>
              <w:rPr>
                <w:lang w:eastAsia="en-US"/>
              </w:rPr>
            </w:pPr>
            <w:r w:rsidRPr="00692F21">
              <w:rPr>
                <w:lang w:eastAsia="en-US"/>
              </w:rPr>
              <w:t>261,192 (34.7%)</w:t>
            </w:r>
          </w:p>
        </w:tc>
      </w:tr>
      <w:tr w:rsidR="00470775" w14:paraId="7D0B41C5" w14:textId="77777777" w:rsidTr="00A31C46">
        <w:trPr>
          <w:trHeight w:val="850"/>
        </w:trPr>
        <w:tc>
          <w:tcPr>
            <w:cnfStyle w:val="001000000000" w:firstRow="0" w:lastRow="0" w:firstColumn="1" w:lastColumn="0" w:oddVBand="0" w:evenVBand="0" w:oddHBand="0" w:evenHBand="0" w:firstRowFirstColumn="0" w:firstRowLastColumn="0" w:lastRowFirstColumn="0" w:lastRowLastColumn="0"/>
            <w:tcW w:w="1838" w:type="dxa"/>
            <w:hideMark/>
          </w:tcPr>
          <w:p w14:paraId="4C9822F5" w14:textId="77777777" w:rsidR="00470775" w:rsidRPr="00692F21" w:rsidRDefault="00470775">
            <w:pPr>
              <w:rPr>
                <w:lang w:eastAsia="en-US"/>
              </w:rPr>
            </w:pPr>
            <w:r w:rsidRPr="00692F21">
              <w:rPr>
                <w:lang w:eastAsia="en-US"/>
              </w:rPr>
              <w:t>Over 65</w:t>
            </w:r>
          </w:p>
        </w:tc>
        <w:tc>
          <w:tcPr>
            <w:tcW w:w="1701" w:type="dxa"/>
            <w:vAlign w:val="center"/>
            <w:hideMark/>
          </w:tcPr>
          <w:p w14:paraId="0381DF75" w14:textId="77777777" w:rsidR="00470775" w:rsidRPr="00692F21" w:rsidRDefault="00470775" w:rsidP="00A31C46">
            <w:pPr>
              <w:jc w:val="center"/>
              <w:cnfStyle w:val="000000000000" w:firstRow="0" w:lastRow="0" w:firstColumn="0" w:lastColumn="0" w:oddVBand="0" w:evenVBand="0" w:oddHBand="0" w:evenHBand="0" w:firstRowFirstColumn="0" w:firstRowLastColumn="0" w:lastRowFirstColumn="0" w:lastRowLastColumn="0"/>
              <w:rPr>
                <w:lang w:eastAsia="en-US"/>
              </w:rPr>
            </w:pPr>
            <w:r w:rsidRPr="00692F21">
              <w:rPr>
                <w:lang w:eastAsia="en-US"/>
              </w:rPr>
              <w:t>25,773</w:t>
            </w:r>
            <w:r w:rsidRPr="00692F21">
              <w:rPr>
                <w:lang w:eastAsia="en-US"/>
              </w:rPr>
              <w:br/>
              <w:t>(3.1%)</w:t>
            </w:r>
          </w:p>
        </w:tc>
        <w:tc>
          <w:tcPr>
            <w:tcW w:w="1701" w:type="dxa"/>
            <w:vAlign w:val="center"/>
            <w:hideMark/>
          </w:tcPr>
          <w:p w14:paraId="76908915" w14:textId="200C18DD" w:rsidR="00470775" w:rsidRPr="00692F21" w:rsidRDefault="00470775" w:rsidP="00A31C46">
            <w:pPr>
              <w:jc w:val="center"/>
              <w:cnfStyle w:val="000000000000" w:firstRow="0" w:lastRow="0" w:firstColumn="0" w:lastColumn="0" w:oddVBand="0" w:evenVBand="0" w:oddHBand="0" w:evenHBand="0" w:firstRowFirstColumn="0" w:firstRowLastColumn="0" w:lastRowFirstColumn="0" w:lastRowLastColumn="0"/>
              <w:rPr>
                <w:lang w:eastAsia="en-US"/>
              </w:rPr>
            </w:pPr>
            <w:r w:rsidRPr="00692F21">
              <w:rPr>
                <w:lang w:eastAsia="en-US"/>
              </w:rPr>
              <w:t>37,265</w:t>
            </w:r>
            <w:r w:rsidR="005B7D43">
              <w:rPr>
                <w:lang w:eastAsia="en-US"/>
              </w:rPr>
              <w:br/>
            </w:r>
            <w:r w:rsidRPr="00692F21">
              <w:rPr>
                <w:lang w:eastAsia="en-US"/>
              </w:rPr>
              <w:t>(4.5%)</w:t>
            </w:r>
          </w:p>
        </w:tc>
        <w:tc>
          <w:tcPr>
            <w:tcW w:w="1701" w:type="dxa"/>
            <w:vAlign w:val="center"/>
            <w:hideMark/>
          </w:tcPr>
          <w:p w14:paraId="5A6210F4" w14:textId="7B44C62C" w:rsidR="00470775" w:rsidRPr="00692F21" w:rsidRDefault="00470775" w:rsidP="00A31C46">
            <w:pPr>
              <w:jc w:val="center"/>
              <w:cnfStyle w:val="000000000000" w:firstRow="0" w:lastRow="0" w:firstColumn="0" w:lastColumn="0" w:oddVBand="0" w:evenVBand="0" w:oddHBand="0" w:evenHBand="0" w:firstRowFirstColumn="0" w:firstRowLastColumn="0" w:lastRowFirstColumn="0" w:lastRowLastColumn="0"/>
              <w:rPr>
                <w:lang w:eastAsia="en-US"/>
              </w:rPr>
            </w:pPr>
            <w:r w:rsidRPr="00692F21">
              <w:rPr>
                <w:lang w:eastAsia="en-US"/>
              </w:rPr>
              <w:t>48,292</w:t>
            </w:r>
            <w:r w:rsidR="005B7D43">
              <w:rPr>
                <w:lang w:eastAsia="en-US"/>
              </w:rPr>
              <w:br/>
            </w:r>
            <w:r w:rsidRPr="00692F21">
              <w:rPr>
                <w:lang w:eastAsia="en-US"/>
              </w:rPr>
              <w:t>(6.2%)</w:t>
            </w:r>
          </w:p>
        </w:tc>
        <w:tc>
          <w:tcPr>
            <w:tcW w:w="1701" w:type="dxa"/>
            <w:vAlign w:val="center"/>
            <w:hideMark/>
          </w:tcPr>
          <w:p w14:paraId="20385FDD" w14:textId="3B938A07" w:rsidR="00470775" w:rsidRPr="00692F21" w:rsidRDefault="00470775" w:rsidP="00A31C46">
            <w:pPr>
              <w:jc w:val="center"/>
              <w:cnfStyle w:val="000000000000" w:firstRow="0" w:lastRow="0" w:firstColumn="0" w:lastColumn="0" w:oddVBand="0" w:evenVBand="0" w:oddHBand="0" w:evenHBand="0" w:firstRowFirstColumn="0" w:firstRowLastColumn="0" w:lastRowFirstColumn="0" w:lastRowLastColumn="0"/>
              <w:rPr>
                <w:lang w:eastAsia="en-US"/>
              </w:rPr>
            </w:pPr>
            <w:r w:rsidRPr="00692F21">
              <w:rPr>
                <w:lang w:eastAsia="en-US"/>
              </w:rPr>
              <w:t>72,038</w:t>
            </w:r>
            <w:r w:rsidR="005B7D43">
              <w:rPr>
                <w:lang w:eastAsia="en-US"/>
              </w:rPr>
              <w:br/>
            </w:r>
            <w:r w:rsidRPr="00692F21">
              <w:rPr>
                <w:lang w:eastAsia="en-US"/>
              </w:rPr>
              <w:t>(9.6%)</w:t>
            </w:r>
          </w:p>
        </w:tc>
        <w:tc>
          <w:tcPr>
            <w:tcW w:w="1701" w:type="dxa"/>
            <w:vAlign w:val="center"/>
            <w:hideMark/>
          </w:tcPr>
          <w:p w14:paraId="16D824DF" w14:textId="357DDD22" w:rsidR="00470775" w:rsidRPr="00692F21" w:rsidRDefault="00470775" w:rsidP="00A31C46">
            <w:pPr>
              <w:jc w:val="center"/>
              <w:cnfStyle w:val="000000000000" w:firstRow="0" w:lastRow="0" w:firstColumn="0" w:lastColumn="0" w:oddVBand="0" w:evenVBand="0" w:oddHBand="0" w:evenHBand="0" w:firstRowFirstColumn="0" w:firstRowLastColumn="0" w:lastRowFirstColumn="0" w:lastRowLastColumn="0"/>
              <w:rPr>
                <w:lang w:eastAsia="en-US"/>
              </w:rPr>
            </w:pPr>
            <w:r w:rsidRPr="00692F21">
              <w:rPr>
                <w:lang w:eastAsia="en-US"/>
              </w:rPr>
              <w:t>95,527</w:t>
            </w:r>
            <w:r w:rsidR="005B7D43">
              <w:rPr>
                <w:lang w:eastAsia="en-US"/>
              </w:rPr>
              <w:br/>
            </w:r>
            <w:r w:rsidRPr="00692F21">
              <w:rPr>
                <w:lang w:eastAsia="en-US"/>
              </w:rPr>
              <w:t>(12.7%)</w:t>
            </w:r>
          </w:p>
        </w:tc>
      </w:tr>
    </w:tbl>
    <w:p w14:paraId="6B9257B5" w14:textId="77777777" w:rsidR="00C43897" w:rsidRDefault="00C43897" w:rsidP="00C43897">
      <w:pPr>
        <w:rPr>
          <w:b/>
        </w:rPr>
      </w:pPr>
    </w:p>
    <w:p w14:paraId="1CCE11DD" w14:textId="77777777" w:rsidR="00C43897" w:rsidRPr="00A7563A" w:rsidRDefault="00C43897" w:rsidP="00C43897">
      <w:pPr>
        <w:rPr>
          <w:b/>
        </w:rPr>
      </w:pPr>
      <w:r w:rsidRPr="00A7563A">
        <w:rPr>
          <w:b/>
        </w:rPr>
        <w:t>Recipient Gender</w:t>
      </w:r>
    </w:p>
    <w:tbl>
      <w:tblPr>
        <w:tblStyle w:val="GridTable5Dark-Accent1"/>
        <w:tblW w:w="10343" w:type="dxa"/>
        <w:tblLayout w:type="fixed"/>
        <w:tblLook w:val="04A0" w:firstRow="1" w:lastRow="0" w:firstColumn="1" w:lastColumn="0" w:noHBand="0" w:noVBand="1"/>
        <w:tblDescription w:val="Recipient Gender"/>
      </w:tblPr>
      <w:tblGrid>
        <w:gridCol w:w="1838"/>
        <w:gridCol w:w="1701"/>
        <w:gridCol w:w="1701"/>
        <w:gridCol w:w="1701"/>
        <w:gridCol w:w="1701"/>
        <w:gridCol w:w="1701"/>
      </w:tblGrid>
      <w:tr w:rsidR="00C43897" w14:paraId="60BCCD3D" w14:textId="77777777" w:rsidTr="005B7D43">
        <w:trPr>
          <w:cnfStyle w:val="100000000000" w:firstRow="1" w:lastRow="0" w:firstColumn="0" w:lastColumn="0" w:oddVBand="0" w:evenVBand="0" w:oddHBand="0" w:evenHBand="0" w:firstRowFirstColumn="0" w:firstRowLastColumn="0" w:lastRowFirstColumn="0" w:lastRowLastColumn="0"/>
          <w:trHeight w:val="850"/>
          <w:tblHeader/>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28900881" w14:textId="77777777" w:rsidR="00C43897" w:rsidRPr="001E5242" w:rsidRDefault="00C43897" w:rsidP="001E5242">
            <w:pPr>
              <w:rPr>
                <w:lang w:eastAsia="en-US"/>
              </w:rPr>
            </w:pPr>
            <w:r w:rsidRPr="001E5242">
              <w:rPr>
                <w:rFonts w:asciiTheme="minorHAnsi" w:hAnsiTheme="minorHAnsi" w:cstheme="minorHAnsi"/>
                <w:b w:val="0"/>
                <w:bCs w:val="0"/>
                <w:lang w:eastAsia="en-US"/>
              </w:rPr>
              <w:t>Gender</w:t>
            </w:r>
          </w:p>
        </w:tc>
        <w:tc>
          <w:tcPr>
            <w:tcW w:w="1701" w:type="dxa"/>
            <w:vAlign w:val="center"/>
            <w:hideMark/>
          </w:tcPr>
          <w:p w14:paraId="38A2FFB3" w14:textId="77777777" w:rsidR="00C43897" w:rsidRPr="001E5242" w:rsidRDefault="00C43897" w:rsidP="001E5242">
            <w:pPr>
              <w:jc w:val="center"/>
              <w:cnfStyle w:val="100000000000" w:firstRow="1" w:lastRow="0" w:firstColumn="0" w:lastColumn="0" w:oddVBand="0" w:evenVBand="0" w:oddHBand="0" w:evenHBand="0" w:firstRowFirstColumn="0" w:firstRowLastColumn="0" w:lastRowFirstColumn="0" w:lastRowLastColumn="0"/>
              <w:rPr>
                <w:lang w:eastAsia="en-US"/>
              </w:rPr>
            </w:pPr>
            <w:r w:rsidRPr="001E5242">
              <w:rPr>
                <w:rFonts w:asciiTheme="minorHAnsi" w:hAnsiTheme="minorHAnsi" w:cstheme="minorHAnsi"/>
                <w:b w:val="0"/>
                <w:bCs w:val="0"/>
                <w:lang w:eastAsia="en-US"/>
              </w:rPr>
              <w:t>Jun 12</w:t>
            </w:r>
          </w:p>
        </w:tc>
        <w:tc>
          <w:tcPr>
            <w:tcW w:w="1701" w:type="dxa"/>
            <w:vAlign w:val="center"/>
            <w:hideMark/>
          </w:tcPr>
          <w:p w14:paraId="603850C4" w14:textId="77777777" w:rsidR="00C43897" w:rsidRPr="001E5242" w:rsidRDefault="00C43897" w:rsidP="001E5242">
            <w:pPr>
              <w:jc w:val="center"/>
              <w:cnfStyle w:val="100000000000" w:firstRow="1" w:lastRow="0" w:firstColumn="0" w:lastColumn="0" w:oddVBand="0" w:evenVBand="0" w:oddHBand="0" w:evenHBand="0" w:firstRowFirstColumn="0" w:firstRowLastColumn="0" w:lastRowFirstColumn="0" w:lastRowLastColumn="0"/>
              <w:rPr>
                <w:lang w:eastAsia="en-US"/>
              </w:rPr>
            </w:pPr>
            <w:r w:rsidRPr="001E5242">
              <w:rPr>
                <w:rFonts w:asciiTheme="minorHAnsi" w:hAnsiTheme="minorHAnsi" w:cstheme="minorHAnsi"/>
                <w:b w:val="0"/>
                <w:bCs w:val="0"/>
                <w:lang w:eastAsia="en-US"/>
              </w:rPr>
              <w:t>Jun 14</w:t>
            </w:r>
          </w:p>
        </w:tc>
        <w:tc>
          <w:tcPr>
            <w:tcW w:w="1701" w:type="dxa"/>
            <w:vAlign w:val="center"/>
            <w:hideMark/>
          </w:tcPr>
          <w:p w14:paraId="6B7F47C4" w14:textId="77777777" w:rsidR="00C43897" w:rsidRPr="001E5242" w:rsidRDefault="00C43897" w:rsidP="001E5242">
            <w:pPr>
              <w:jc w:val="center"/>
              <w:cnfStyle w:val="100000000000" w:firstRow="1" w:lastRow="0" w:firstColumn="0" w:lastColumn="0" w:oddVBand="0" w:evenVBand="0" w:oddHBand="0" w:evenHBand="0" w:firstRowFirstColumn="0" w:firstRowLastColumn="0" w:lastRowFirstColumn="0" w:lastRowLastColumn="0"/>
              <w:rPr>
                <w:lang w:eastAsia="en-US"/>
              </w:rPr>
            </w:pPr>
            <w:r w:rsidRPr="001E5242">
              <w:rPr>
                <w:rFonts w:asciiTheme="minorHAnsi" w:hAnsiTheme="minorHAnsi" w:cstheme="minorHAnsi"/>
                <w:b w:val="0"/>
                <w:bCs w:val="0"/>
                <w:lang w:eastAsia="en-US"/>
              </w:rPr>
              <w:t>Jun 16</w:t>
            </w:r>
          </w:p>
        </w:tc>
        <w:tc>
          <w:tcPr>
            <w:tcW w:w="1701" w:type="dxa"/>
            <w:vAlign w:val="center"/>
            <w:hideMark/>
          </w:tcPr>
          <w:p w14:paraId="0CF11EDF" w14:textId="77777777" w:rsidR="00C43897" w:rsidRPr="001E5242" w:rsidRDefault="00C43897" w:rsidP="001E5242">
            <w:pPr>
              <w:jc w:val="center"/>
              <w:cnfStyle w:val="100000000000" w:firstRow="1" w:lastRow="0" w:firstColumn="0" w:lastColumn="0" w:oddVBand="0" w:evenVBand="0" w:oddHBand="0" w:evenHBand="0" w:firstRowFirstColumn="0" w:firstRowLastColumn="0" w:lastRowFirstColumn="0" w:lastRowLastColumn="0"/>
              <w:rPr>
                <w:lang w:eastAsia="en-US"/>
              </w:rPr>
            </w:pPr>
            <w:r w:rsidRPr="001E5242">
              <w:rPr>
                <w:rFonts w:asciiTheme="minorHAnsi" w:hAnsiTheme="minorHAnsi" w:cstheme="minorHAnsi"/>
                <w:b w:val="0"/>
                <w:bCs w:val="0"/>
                <w:lang w:eastAsia="en-US"/>
              </w:rPr>
              <w:t>Jun 18</w:t>
            </w:r>
          </w:p>
        </w:tc>
        <w:tc>
          <w:tcPr>
            <w:tcW w:w="1701" w:type="dxa"/>
            <w:vAlign w:val="center"/>
            <w:hideMark/>
          </w:tcPr>
          <w:p w14:paraId="1939FD72" w14:textId="77777777" w:rsidR="00C43897" w:rsidRPr="001E5242" w:rsidRDefault="00C43897" w:rsidP="001E5242">
            <w:pPr>
              <w:jc w:val="center"/>
              <w:cnfStyle w:val="100000000000" w:firstRow="1" w:lastRow="0" w:firstColumn="0" w:lastColumn="0" w:oddVBand="0" w:evenVBand="0" w:oddHBand="0" w:evenHBand="0" w:firstRowFirstColumn="0" w:firstRowLastColumn="0" w:lastRowFirstColumn="0" w:lastRowLastColumn="0"/>
              <w:rPr>
                <w:lang w:eastAsia="en-US"/>
              </w:rPr>
            </w:pPr>
            <w:r w:rsidRPr="001E5242">
              <w:rPr>
                <w:rFonts w:asciiTheme="minorHAnsi" w:hAnsiTheme="minorHAnsi" w:cstheme="minorHAnsi"/>
                <w:b w:val="0"/>
                <w:bCs w:val="0"/>
                <w:lang w:eastAsia="en-US"/>
              </w:rPr>
              <w:t>Jun 20</w:t>
            </w:r>
          </w:p>
        </w:tc>
      </w:tr>
      <w:tr w:rsidR="00C43897" w14:paraId="1EE22C43" w14:textId="77777777" w:rsidTr="001E5242">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838" w:type="dxa"/>
            <w:hideMark/>
          </w:tcPr>
          <w:p w14:paraId="461A7A4C" w14:textId="77777777" w:rsidR="00C43897" w:rsidRPr="001E5242" w:rsidRDefault="00C43897" w:rsidP="00F357B2">
            <w:pPr>
              <w:rPr>
                <w:lang w:eastAsia="en-US"/>
              </w:rPr>
            </w:pPr>
            <w:r w:rsidRPr="001E5242">
              <w:rPr>
                <w:lang w:eastAsia="en-US"/>
              </w:rPr>
              <w:t>Male</w:t>
            </w:r>
          </w:p>
        </w:tc>
        <w:tc>
          <w:tcPr>
            <w:tcW w:w="1701" w:type="dxa"/>
            <w:vAlign w:val="center"/>
            <w:hideMark/>
          </w:tcPr>
          <w:p w14:paraId="00D286FC" w14:textId="77777777" w:rsidR="00C43897" w:rsidRPr="001E5242" w:rsidRDefault="00C43897" w:rsidP="001E5242">
            <w:pPr>
              <w:jc w:val="center"/>
              <w:cnfStyle w:val="000000100000" w:firstRow="0" w:lastRow="0" w:firstColumn="0" w:lastColumn="0" w:oddVBand="0" w:evenVBand="0" w:oddHBand="1" w:evenHBand="0" w:firstRowFirstColumn="0" w:firstRowLastColumn="0" w:lastRowFirstColumn="0" w:lastRowLastColumn="0"/>
              <w:rPr>
                <w:lang w:eastAsia="en-US"/>
              </w:rPr>
            </w:pPr>
            <w:r w:rsidRPr="001E5242">
              <w:rPr>
                <w:lang w:eastAsia="en-US"/>
              </w:rPr>
              <w:t>444,690 (53.7%)</w:t>
            </w:r>
          </w:p>
        </w:tc>
        <w:tc>
          <w:tcPr>
            <w:tcW w:w="1701" w:type="dxa"/>
            <w:vAlign w:val="center"/>
            <w:hideMark/>
          </w:tcPr>
          <w:p w14:paraId="27912F11" w14:textId="77777777" w:rsidR="00C43897" w:rsidRPr="001E5242" w:rsidRDefault="00C43897" w:rsidP="001E5242">
            <w:pPr>
              <w:jc w:val="center"/>
              <w:cnfStyle w:val="000000100000" w:firstRow="0" w:lastRow="0" w:firstColumn="0" w:lastColumn="0" w:oddVBand="0" w:evenVBand="0" w:oddHBand="1" w:evenHBand="0" w:firstRowFirstColumn="0" w:firstRowLastColumn="0" w:lastRowFirstColumn="0" w:lastRowLastColumn="0"/>
              <w:rPr>
                <w:lang w:eastAsia="en-US"/>
              </w:rPr>
            </w:pPr>
            <w:r w:rsidRPr="001E5242">
              <w:rPr>
                <w:lang w:eastAsia="en-US"/>
              </w:rPr>
              <w:t>441,013 (53.1%)</w:t>
            </w:r>
          </w:p>
        </w:tc>
        <w:tc>
          <w:tcPr>
            <w:tcW w:w="1701" w:type="dxa"/>
            <w:vAlign w:val="center"/>
            <w:hideMark/>
          </w:tcPr>
          <w:p w14:paraId="07C75787" w14:textId="77777777" w:rsidR="00C43897" w:rsidRPr="001E5242" w:rsidRDefault="00C43897" w:rsidP="001E5242">
            <w:pPr>
              <w:jc w:val="center"/>
              <w:cnfStyle w:val="000000100000" w:firstRow="0" w:lastRow="0" w:firstColumn="0" w:lastColumn="0" w:oddVBand="0" w:evenVBand="0" w:oddHBand="1" w:evenHBand="0" w:firstRowFirstColumn="0" w:firstRowLastColumn="0" w:lastRowFirstColumn="0" w:lastRowLastColumn="0"/>
              <w:rPr>
                <w:lang w:eastAsia="en-US"/>
              </w:rPr>
            </w:pPr>
            <w:r w:rsidRPr="001E5242">
              <w:rPr>
                <w:lang w:eastAsia="en-US"/>
              </w:rPr>
              <w:t>416,380 (53.2%)</w:t>
            </w:r>
          </w:p>
        </w:tc>
        <w:tc>
          <w:tcPr>
            <w:tcW w:w="1701" w:type="dxa"/>
            <w:vAlign w:val="center"/>
            <w:hideMark/>
          </w:tcPr>
          <w:p w14:paraId="05758570" w14:textId="77777777" w:rsidR="00C43897" w:rsidRPr="001E5242" w:rsidRDefault="00C43897" w:rsidP="001E5242">
            <w:pPr>
              <w:jc w:val="center"/>
              <w:cnfStyle w:val="000000100000" w:firstRow="0" w:lastRow="0" w:firstColumn="0" w:lastColumn="0" w:oddVBand="0" w:evenVBand="0" w:oddHBand="1" w:evenHBand="0" w:firstRowFirstColumn="0" w:firstRowLastColumn="0" w:lastRowFirstColumn="0" w:lastRowLastColumn="0"/>
              <w:rPr>
                <w:lang w:eastAsia="en-US"/>
              </w:rPr>
            </w:pPr>
            <w:r w:rsidRPr="001E5242">
              <w:rPr>
                <w:lang w:eastAsia="en-US"/>
              </w:rPr>
              <w:t>402,901 (53.2%)</w:t>
            </w:r>
          </w:p>
        </w:tc>
        <w:tc>
          <w:tcPr>
            <w:tcW w:w="1701" w:type="dxa"/>
            <w:vAlign w:val="center"/>
            <w:hideMark/>
          </w:tcPr>
          <w:p w14:paraId="088CDC0A" w14:textId="77777777" w:rsidR="00C43897" w:rsidRPr="001E5242" w:rsidRDefault="00C43897" w:rsidP="001E5242">
            <w:pPr>
              <w:jc w:val="center"/>
              <w:cnfStyle w:val="000000100000" w:firstRow="0" w:lastRow="0" w:firstColumn="0" w:lastColumn="0" w:oddVBand="0" w:evenVBand="0" w:oddHBand="1" w:evenHBand="0" w:firstRowFirstColumn="0" w:firstRowLastColumn="0" w:lastRowFirstColumn="0" w:lastRowLastColumn="0"/>
              <w:rPr>
                <w:lang w:eastAsia="en-US"/>
              </w:rPr>
            </w:pPr>
            <w:r w:rsidRPr="001E5242">
              <w:rPr>
                <w:lang w:eastAsia="en-US"/>
              </w:rPr>
              <w:t>402,037 (53.3%)</w:t>
            </w:r>
          </w:p>
        </w:tc>
      </w:tr>
      <w:tr w:rsidR="00C43897" w14:paraId="6CA5D664" w14:textId="77777777" w:rsidTr="001E5242">
        <w:trPr>
          <w:trHeight w:val="850"/>
        </w:trPr>
        <w:tc>
          <w:tcPr>
            <w:cnfStyle w:val="001000000000" w:firstRow="0" w:lastRow="0" w:firstColumn="1" w:lastColumn="0" w:oddVBand="0" w:evenVBand="0" w:oddHBand="0" w:evenHBand="0" w:firstRowFirstColumn="0" w:firstRowLastColumn="0" w:lastRowFirstColumn="0" w:lastRowLastColumn="0"/>
            <w:tcW w:w="1838" w:type="dxa"/>
            <w:hideMark/>
          </w:tcPr>
          <w:p w14:paraId="65C8C025" w14:textId="77777777" w:rsidR="00C43897" w:rsidRPr="001E5242" w:rsidRDefault="00C43897" w:rsidP="00F357B2">
            <w:pPr>
              <w:rPr>
                <w:lang w:eastAsia="en-US"/>
              </w:rPr>
            </w:pPr>
            <w:r w:rsidRPr="001E5242">
              <w:rPr>
                <w:lang w:eastAsia="en-US"/>
              </w:rPr>
              <w:t>Female</w:t>
            </w:r>
          </w:p>
        </w:tc>
        <w:tc>
          <w:tcPr>
            <w:tcW w:w="1701" w:type="dxa"/>
            <w:vAlign w:val="center"/>
            <w:hideMark/>
          </w:tcPr>
          <w:p w14:paraId="61803DAB" w14:textId="77777777" w:rsidR="00C43897" w:rsidRPr="001E5242" w:rsidRDefault="00C43897" w:rsidP="001E5242">
            <w:pPr>
              <w:jc w:val="center"/>
              <w:cnfStyle w:val="000000000000" w:firstRow="0" w:lastRow="0" w:firstColumn="0" w:lastColumn="0" w:oddVBand="0" w:evenVBand="0" w:oddHBand="0" w:evenHBand="0" w:firstRowFirstColumn="0" w:firstRowLastColumn="0" w:lastRowFirstColumn="0" w:lastRowLastColumn="0"/>
              <w:rPr>
                <w:lang w:eastAsia="en-US"/>
              </w:rPr>
            </w:pPr>
            <w:r w:rsidRPr="001E5242">
              <w:rPr>
                <w:lang w:eastAsia="en-US"/>
              </w:rPr>
              <w:t>382,770 (46.3%)</w:t>
            </w:r>
          </w:p>
        </w:tc>
        <w:tc>
          <w:tcPr>
            <w:tcW w:w="1701" w:type="dxa"/>
            <w:vAlign w:val="center"/>
            <w:hideMark/>
          </w:tcPr>
          <w:p w14:paraId="0FCAB2C6" w14:textId="77777777" w:rsidR="00C43897" w:rsidRPr="001E5242" w:rsidRDefault="00C43897" w:rsidP="001E5242">
            <w:pPr>
              <w:jc w:val="center"/>
              <w:cnfStyle w:val="000000000000" w:firstRow="0" w:lastRow="0" w:firstColumn="0" w:lastColumn="0" w:oddVBand="0" w:evenVBand="0" w:oddHBand="0" w:evenHBand="0" w:firstRowFirstColumn="0" w:firstRowLastColumn="0" w:lastRowFirstColumn="0" w:lastRowLastColumn="0"/>
              <w:rPr>
                <w:lang w:eastAsia="en-US"/>
              </w:rPr>
            </w:pPr>
            <w:r w:rsidRPr="001E5242">
              <w:rPr>
                <w:lang w:eastAsia="en-US"/>
              </w:rPr>
              <w:t>389,441 (46.9%)</w:t>
            </w:r>
          </w:p>
        </w:tc>
        <w:tc>
          <w:tcPr>
            <w:tcW w:w="1701" w:type="dxa"/>
            <w:vAlign w:val="center"/>
            <w:hideMark/>
          </w:tcPr>
          <w:p w14:paraId="6E390DC0" w14:textId="77777777" w:rsidR="00C43897" w:rsidRPr="001E5242" w:rsidRDefault="00C43897" w:rsidP="001E5242">
            <w:pPr>
              <w:jc w:val="center"/>
              <w:cnfStyle w:val="000000000000" w:firstRow="0" w:lastRow="0" w:firstColumn="0" w:lastColumn="0" w:oddVBand="0" w:evenVBand="0" w:oddHBand="0" w:evenHBand="0" w:firstRowFirstColumn="0" w:firstRowLastColumn="0" w:lastRowFirstColumn="0" w:lastRowLastColumn="0"/>
              <w:rPr>
                <w:lang w:eastAsia="en-US"/>
              </w:rPr>
            </w:pPr>
            <w:r w:rsidRPr="001E5242">
              <w:rPr>
                <w:lang w:eastAsia="en-US"/>
              </w:rPr>
              <w:t>366,511 (46.8%)</w:t>
            </w:r>
          </w:p>
        </w:tc>
        <w:tc>
          <w:tcPr>
            <w:tcW w:w="1701" w:type="dxa"/>
            <w:vAlign w:val="center"/>
            <w:hideMark/>
          </w:tcPr>
          <w:p w14:paraId="1DD164F4" w14:textId="77777777" w:rsidR="00C43897" w:rsidRPr="001E5242" w:rsidRDefault="00C43897" w:rsidP="001E5242">
            <w:pPr>
              <w:jc w:val="center"/>
              <w:cnfStyle w:val="000000000000" w:firstRow="0" w:lastRow="0" w:firstColumn="0" w:lastColumn="0" w:oddVBand="0" w:evenVBand="0" w:oddHBand="0" w:evenHBand="0" w:firstRowFirstColumn="0" w:firstRowLastColumn="0" w:lastRowFirstColumn="0" w:lastRowLastColumn="0"/>
              <w:rPr>
                <w:lang w:eastAsia="en-US"/>
              </w:rPr>
            </w:pPr>
            <w:r w:rsidRPr="001E5242">
              <w:rPr>
                <w:lang w:eastAsia="en-US"/>
              </w:rPr>
              <w:t>354,059 (46.8%)</w:t>
            </w:r>
          </w:p>
        </w:tc>
        <w:tc>
          <w:tcPr>
            <w:tcW w:w="1701" w:type="dxa"/>
            <w:vAlign w:val="center"/>
            <w:hideMark/>
          </w:tcPr>
          <w:p w14:paraId="051AB531" w14:textId="77777777" w:rsidR="00C43897" w:rsidRPr="001E5242" w:rsidRDefault="00C43897" w:rsidP="001E5242">
            <w:pPr>
              <w:jc w:val="center"/>
              <w:cnfStyle w:val="000000000000" w:firstRow="0" w:lastRow="0" w:firstColumn="0" w:lastColumn="0" w:oddVBand="0" w:evenVBand="0" w:oddHBand="0" w:evenHBand="0" w:firstRowFirstColumn="0" w:firstRowLastColumn="0" w:lastRowFirstColumn="0" w:lastRowLastColumn="0"/>
              <w:rPr>
                <w:lang w:eastAsia="en-US"/>
              </w:rPr>
            </w:pPr>
            <w:r w:rsidRPr="001E5242">
              <w:rPr>
                <w:lang w:eastAsia="en-US"/>
              </w:rPr>
              <w:t>352,144 (46.7%)</w:t>
            </w:r>
          </w:p>
        </w:tc>
      </w:tr>
    </w:tbl>
    <w:p w14:paraId="75CBFC91" w14:textId="77777777" w:rsidR="0044096F" w:rsidRPr="00DB6E60" w:rsidRDefault="0044096F" w:rsidP="00A4528E"/>
    <w:p w14:paraId="105F5FAC" w14:textId="00E0DAF8" w:rsidR="00A4528E" w:rsidRDefault="00A4528E" w:rsidP="00A4528E">
      <w:pPr>
        <w:pStyle w:val="Heading2"/>
      </w:pPr>
      <w:bookmarkStart w:id="8" w:name="_Toc73104279"/>
      <w:r>
        <w:t>Current Impairment Tables</w:t>
      </w:r>
      <w:bookmarkEnd w:id="8"/>
    </w:p>
    <w:p w14:paraId="6928EE17" w14:textId="56E39743" w:rsidR="00304A8F" w:rsidRDefault="00304A8F" w:rsidP="007F1AB9">
      <w:pPr>
        <w:rPr>
          <w:rFonts w:asciiTheme="minorHAnsi" w:hAnsiTheme="minorHAnsi" w:cstheme="minorHAnsi"/>
        </w:rPr>
      </w:pPr>
      <w:r w:rsidRPr="00086596">
        <w:rPr>
          <w:rFonts w:asciiTheme="minorHAnsi" w:hAnsiTheme="minorHAnsi" w:cstheme="minorHAnsi"/>
        </w:rPr>
        <w:t>The 15 individual tables cover different forms of function</w:t>
      </w:r>
      <w:r>
        <w:rPr>
          <w:rFonts w:asciiTheme="minorHAnsi" w:hAnsiTheme="minorHAnsi" w:cstheme="minorHAnsi"/>
        </w:rPr>
        <w:t>al ability</w:t>
      </w:r>
      <w:r w:rsidRPr="00086596">
        <w:rPr>
          <w:rFonts w:asciiTheme="minorHAnsi" w:hAnsiTheme="minorHAnsi" w:cstheme="minorHAnsi"/>
        </w:rPr>
        <w:t xml:space="preserve">. The </w:t>
      </w:r>
      <w:r w:rsidR="00084051">
        <w:rPr>
          <w:rFonts w:asciiTheme="minorHAnsi" w:hAnsiTheme="minorHAnsi" w:cstheme="minorHAnsi"/>
        </w:rPr>
        <w:t xml:space="preserve">Impairment </w:t>
      </w:r>
      <w:r w:rsidRPr="00086596">
        <w:rPr>
          <w:rFonts w:asciiTheme="minorHAnsi" w:hAnsiTheme="minorHAnsi" w:cstheme="minorHAnsi"/>
        </w:rPr>
        <w:t xml:space="preserve">Tables are used to assess how a diagnosed condition affects the functioning of an individual in their day-to-day life. To </w:t>
      </w:r>
      <w:r>
        <w:rPr>
          <w:rFonts w:asciiTheme="minorHAnsi" w:hAnsiTheme="minorHAnsi" w:cstheme="minorHAnsi"/>
        </w:rPr>
        <w:t xml:space="preserve">be eligible for DSP, and assessed against the </w:t>
      </w:r>
      <w:r w:rsidR="00970865" w:rsidRPr="00086596">
        <w:rPr>
          <w:rFonts w:asciiTheme="minorHAnsi" w:hAnsiTheme="minorHAnsi" w:cstheme="minorHAnsi"/>
        </w:rPr>
        <w:t xml:space="preserve">Impairment </w:t>
      </w:r>
      <w:r>
        <w:rPr>
          <w:rFonts w:asciiTheme="minorHAnsi" w:hAnsiTheme="minorHAnsi" w:cstheme="minorHAnsi"/>
        </w:rPr>
        <w:t>Tables</w:t>
      </w:r>
      <w:r w:rsidRPr="00086596">
        <w:rPr>
          <w:rFonts w:asciiTheme="minorHAnsi" w:hAnsiTheme="minorHAnsi" w:cstheme="minorHAnsi"/>
        </w:rPr>
        <w:t>, a person</w:t>
      </w:r>
      <w:r>
        <w:rPr>
          <w:rFonts w:asciiTheme="minorHAnsi" w:hAnsiTheme="minorHAnsi" w:cstheme="minorHAnsi"/>
        </w:rPr>
        <w:t xml:space="preserve">’s impairment must be the result of a permanent condition, </w:t>
      </w:r>
      <w:r w:rsidR="00E42894">
        <w:rPr>
          <w:rFonts w:asciiTheme="minorHAnsi" w:hAnsiTheme="minorHAnsi" w:cstheme="minorHAnsi"/>
        </w:rPr>
        <w:t xml:space="preserve">meaning </w:t>
      </w:r>
      <w:r>
        <w:rPr>
          <w:rFonts w:asciiTheme="minorHAnsi" w:hAnsiTheme="minorHAnsi" w:cstheme="minorHAnsi"/>
        </w:rPr>
        <w:t xml:space="preserve">the impairment is likely to persist for more than 2 years. </w:t>
      </w:r>
      <w:r w:rsidR="00C613C4">
        <w:rPr>
          <w:rFonts w:asciiTheme="minorHAnsi" w:hAnsiTheme="minorHAnsi" w:cstheme="minorHAnsi"/>
        </w:rPr>
        <w:t xml:space="preserve">The current </w:t>
      </w:r>
      <w:r w:rsidR="007F1AB9">
        <w:rPr>
          <w:rFonts w:asciiTheme="minorHAnsi" w:hAnsiTheme="minorHAnsi" w:cstheme="minorHAnsi"/>
        </w:rPr>
        <w:t xml:space="preserve">Impairment Tables </w:t>
      </w:r>
      <w:r w:rsidR="00560E16">
        <w:rPr>
          <w:rFonts w:asciiTheme="minorHAnsi" w:hAnsiTheme="minorHAnsi" w:cstheme="minorHAnsi"/>
        </w:rPr>
        <w:t>legislative i</w:t>
      </w:r>
      <w:r w:rsidR="00C613C4">
        <w:rPr>
          <w:rFonts w:asciiTheme="minorHAnsi" w:hAnsiTheme="minorHAnsi" w:cstheme="minorHAnsi"/>
        </w:rPr>
        <w:t xml:space="preserve">nstrument can be </w:t>
      </w:r>
      <w:r w:rsidR="007F1AB9">
        <w:rPr>
          <w:rFonts w:asciiTheme="minorHAnsi" w:hAnsiTheme="minorHAnsi" w:cstheme="minorHAnsi"/>
        </w:rPr>
        <w:t>viewed</w:t>
      </w:r>
      <w:r w:rsidR="00C613C4">
        <w:rPr>
          <w:rFonts w:asciiTheme="minorHAnsi" w:hAnsiTheme="minorHAnsi" w:cstheme="minorHAnsi"/>
        </w:rPr>
        <w:t xml:space="preserve"> at</w:t>
      </w:r>
      <w:r w:rsidR="007F1AB9">
        <w:rPr>
          <w:rFonts w:asciiTheme="minorHAnsi" w:hAnsiTheme="minorHAnsi" w:cstheme="minorHAnsi"/>
        </w:rPr>
        <w:t xml:space="preserve">: </w:t>
      </w:r>
      <w:hyperlink r:id="rId16" w:history="1">
        <w:r w:rsidR="007F1AB9" w:rsidRPr="007F1AB9">
          <w:rPr>
            <w:rStyle w:val="Hyperlink"/>
            <w:rFonts w:asciiTheme="minorHAnsi" w:hAnsiTheme="minorHAnsi" w:cstheme="minorHAnsi"/>
            <w:sz w:val="24"/>
          </w:rPr>
          <w:t>https://www.legislation.gov.au/Series/F2011L02716</w:t>
        </w:r>
      </w:hyperlink>
      <w:r w:rsidR="007F1AB9">
        <w:rPr>
          <w:rFonts w:asciiTheme="minorHAnsi" w:hAnsiTheme="minorHAnsi" w:cstheme="minorHAnsi"/>
        </w:rPr>
        <w:t>.</w:t>
      </w:r>
    </w:p>
    <w:p w14:paraId="6242DE11" w14:textId="77777777" w:rsidR="00304A8F" w:rsidRDefault="00304A8F" w:rsidP="00304A8F">
      <w:pPr>
        <w:rPr>
          <w:rFonts w:asciiTheme="minorHAnsi" w:hAnsiTheme="minorHAnsi" w:cstheme="minorHAnsi"/>
        </w:rPr>
      </w:pPr>
      <w:r>
        <w:rPr>
          <w:rFonts w:asciiTheme="minorHAnsi" w:hAnsiTheme="minorHAnsi" w:cstheme="minorHAnsi"/>
        </w:rPr>
        <w:t xml:space="preserve">For the purposes of DSP, a permanent condition is defined as being fully diagnosed, treated and stabilised. </w:t>
      </w:r>
    </w:p>
    <w:p w14:paraId="3A4E19BA" w14:textId="42C21F83" w:rsidR="00304A8F" w:rsidRDefault="00304A8F" w:rsidP="00304A8F">
      <w:pPr>
        <w:rPr>
          <w:rFonts w:asciiTheme="minorHAnsi" w:hAnsiTheme="minorHAnsi" w:cstheme="minorHAnsi"/>
        </w:rPr>
      </w:pPr>
      <w:r>
        <w:rPr>
          <w:rFonts w:asciiTheme="minorHAnsi" w:hAnsiTheme="minorHAnsi" w:cstheme="minorHAnsi"/>
        </w:rPr>
        <w:lastRenderedPageBreak/>
        <w:t>In determining whether a condition has been fully diagnosed by an appropriately qualified medical practitioner and whether it has been fully treated</w:t>
      </w:r>
      <w:r w:rsidR="001760A2">
        <w:rPr>
          <w:rFonts w:asciiTheme="minorHAnsi" w:hAnsiTheme="minorHAnsi" w:cstheme="minorHAnsi"/>
        </w:rPr>
        <w:t>,</w:t>
      </w:r>
      <w:r>
        <w:rPr>
          <w:rFonts w:asciiTheme="minorHAnsi" w:hAnsiTheme="minorHAnsi" w:cstheme="minorHAnsi"/>
        </w:rPr>
        <w:t xml:space="preserve"> the following must be considered: </w:t>
      </w:r>
    </w:p>
    <w:p w14:paraId="613DCF75" w14:textId="77777777" w:rsidR="00304A8F" w:rsidRDefault="00304A8F" w:rsidP="00304A8F">
      <w:pPr>
        <w:pStyle w:val="ListParagraph"/>
        <w:numPr>
          <w:ilvl w:val="0"/>
          <w:numId w:val="10"/>
        </w:numPr>
        <w:rPr>
          <w:rFonts w:asciiTheme="minorHAnsi" w:hAnsiTheme="minorHAnsi" w:cstheme="minorHAnsi"/>
        </w:rPr>
      </w:pPr>
      <w:r>
        <w:rPr>
          <w:rFonts w:asciiTheme="minorHAnsi" w:hAnsiTheme="minorHAnsi" w:cstheme="minorHAnsi"/>
        </w:rPr>
        <w:t>Whether there is corroborating evidence of the condition; and</w:t>
      </w:r>
    </w:p>
    <w:p w14:paraId="1B4CA202" w14:textId="77777777" w:rsidR="00304A8F" w:rsidRDefault="00304A8F" w:rsidP="00304A8F">
      <w:pPr>
        <w:pStyle w:val="ListParagraph"/>
        <w:numPr>
          <w:ilvl w:val="0"/>
          <w:numId w:val="10"/>
        </w:numPr>
        <w:rPr>
          <w:rFonts w:asciiTheme="minorHAnsi" w:hAnsiTheme="minorHAnsi" w:cstheme="minorHAnsi"/>
        </w:rPr>
      </w:pPr>
      <w:r>
        <w:rPr>
          <w:rFonts w:asciiTheme="minorHAnsi" w:hAnsiTheme="minorHAnsi" w:cstheme="minorHAnsi"/>
        </w:rPr>
        <w:t xml:space="preserve">What treatment or rehabilitation has occurred in relation to the condition; and </w:t>
      </w:r>
    </w:p>
    <w:p w14:paraId="65EFECC8" w14:textId="77777777" w:rsidR="00304A8F" w:rsidRDefault="00304A8F" w:rsidP="00304A8F">
      <w:pPr>
        <w:pStyle w:val="ListParagraph"/>
        <w:numPr>
          <w:ilvl w:val="0"/>
          <w:numId w:val="10"/>
        </w:numPr>
        <w:rPr>
          <w:rFonts w:asciiTheme="minorHAnsi" w:hAnsiTheme="minorHAnsi" w:cstheme="minorHAnsi"/>
        </w:rPr>
      </w:pPr>
      <w:r>
        <w:rPr>
          <w:rFonts w:asciiTheme="minorHAnsi" w:hAnsiTheme="minorHAnsi" w:cstheme="minorHAnsi"/>
        </w:rPr>
        <w:t xml:space="preserve">Whether treatment is continuing or is planned in the next 2 years. </w:t>
      </w:r>
    </w:p>
    <w:p w14:paraId="405BAE7D" w14:textId="77777777" w:rsidR="00304A8F" w:rsidRDefault="00304A8F" w:rsidP="00304A8F">
      <w:pPr>
        <w:rPr>
          <w:rFonts w:asciiTheme="minorHAnsi" w:hAnsiTheme="minorHAnsi" w:cstheme="minorHAnsi"/>
        </w:rPr>
      </w:pPr>
      <w:r>
        <w:rPr>
          <w:rFonts w:asciiTheme="minorHAnsi" w:hAnsiTheme="minorHAnsi" w:cstheme="minorHAnsi"/>
        </w:rPr>
        <w:t xml:space="preserve">A condition is considered fully stabilised if: </w:t>
      </w:r>
    </w:p>
    <w:p w14:paraId="1841D897" w14:textId="77777777" w:rsidR="00304A8F" w:rsidRDefault="00304A8F" w:rsidP="00304A8F">
      <w:pPr>
        <w:pStyle w:val="ListParagraph"/>
        <w:numPr>
          <w:ilvl w:val="0"/>
          <w:numId w:val="12"/>
        </w:numPr>
        <w:rPr>
          <w:rFonts w:asciiTheme="minorHAnsi" w:hAnsiTheme="minorHAnsi" w:cstheme="minorHAnsi"/>
        </w:rPr>
      </w:pPr>
      <w:r>
        <w:rPr>
          <w:rFonts w:asciiTheme="minorHAnsi" w:hAnsiTheme="minorHAnsi" w:cstheme="minorHAnsi"/>
        </w:rPr>
        <w:t>Either the person has undertaken reasonable treatment for the condition and any further reasonable treatment is unlikely to result in significant functional improvement to a level enabling the person to undertake work in the next 2 years; or</w:t>
      </w:r>
    </w:p>
    <w:p w14:paraId="311ED0E7" w14:textId="77777777" w:rsidR="00304A8F" w:rsidRDefault="00304A8F" w:rsidP="00304A8F">
      <w:pPr>
        <w:pStyle w:val="ListParagraph"/>
        <w:numPr>
          <w:ilvl w:val="0"/>
          <w:numId w:val="12"/>
        </w:numPr>
        <w:rPr>
          <w:rFonts w:asciiTheme="minorHAnsi" w:hAnsiTheme="minorHAnsi" w:cstheme="minorHAnsi"/>
        </w:rPr>
      </w:pPr>
      <w:r>
        <w:rPr>
          <w:rFonts w:asciiTheme="minorHAnsi" w:hAnsiTheme="minorHAnsi" w:cstheme="minorHAnsi"/>
        </w:rPr>
        <w:t xml:space="preserve">The person has not undertaken reasonable treatment for the condition and: </w:t>
      </w:r>
    </w:p>
    <w:p w14:paraId="064102AA" w14:textId="77777777" w:rsidR="00304A8F" w:rsidRDefault="00304A8F" w:rsidP="00304A8F">
      <w:pPr>
        <w:pStyle w:val="ListParagraph"/>
        <w:numPr>
          <w:ilvl w:val="1"/>
          <w:numId w:val="12"/>
        </w:numPr>
        <w:rPr>
          <w:rFonts w:asciiTheme="minorHAnsi" w:hAnsiTheme="minorHAnsi" w:cstheme="minorHAnsi"/>
        </w:rPr>
      </w:pPr>
      <w:r>
        <w:rPr>
          <w:rFonts w:asciiTheme="minorHAnsi" w:hAnsiTheme="minorHAnsi" w:cstheme="minorHAnsi"/>
        </w:rPr>
        <w:t>Significant functional improvement to a level enabling the person to undertake work in the next 2 years is not expected to result, even if the person undertakes reasonable treatment; or</w:t>
      </w:r>
    </w:p>
    <w:p w14:paraId="070FF7F2" w14:textId="77777777" w:rsidR="00304A8F" w:rsidRDefault="00304A8F" w:rsidP="00304A8F">
      <w:pPr>
        <w:pStyle w:val="ListParagraph"/>
        <w:numPr>
          <w:ilvl w:val="1"/>
          <w:numId w:val="12"/>
        </w:numPr>
        <w:rPr>
          <w:rFonts w:asciiTheme="minorHAnsi" w:hAnsiTheme="minorHAnsi" w:cstheme="minorHAnsi"/>
        </w:rPr>
      </w:pPr>
      <w:r>
        <w:rPr>
          <w:rFonts w:asciiTheme="minorHAnsi" w:hAnsiTheme="minorHAnsi" w:cstheme="minorHAnsi"/>
        </w:rPr>
        <w:t xml:space="preserve">There is a medical or other compelling reason for the person not to undertake reasonable treatment. </w:t>
      </w:r>
    </w:p>
    <w:p w14:paraId="0AA7BDA2" w14:textId="77C7109E" w:rsidR="00304A8F" w:rsidRPr="002D35A6" w:rsidRDefault="00304A8F" w:rsidP="00304A8F">
      <w:pPr>
        <w:rPr>
          <w:rFonts w:asciiTheme="minorHAnsi" w:hAnsiTheme="minorHAnsi" w:cstheme="minorHAnsi"/>
        </w:rPr>
      </w:pPr>
      <w:r>
        <w:rPr>
          <w:rFonts w:asciiTheme="minorHAnsi" w:hAnsiTheme="minorHAnsi" w:cstheme="minorHAnsi"/>
        </w:rPr>
        <w:t>If a claimant does not meet this criteria</w:t>
      </w:r>
      <w:r w:rsidR="00237EE1">
        <w:rPr>
          <w:rFonts w:asciiTheme="minorHAnsi" w:hAnsiTheme="minorHAnsi" w:cstheme="minorHAnsi"/>
        </w:rPr>
        <w:t>, t</w:t>
      </w:r>
      <w:r>
        <w:rPr>
          <w:rFonts w:asciiTheme="minorHAnsi" w:hAnsiTheme="minorHAnsi" w:cstheme="minorHAnsi"/>
        </w:rPr>
        <w:t xml:space="preserve">hey do not meet the eligibility criteria for DSP. </w:t>
      </w:r>
    </w:p>
    <w:p w14:paraId="17D8B172" w14:textId="42CB6B53" w:rsidR="00A4528E" w:rsidRDefault="00A4528E" w:rsidP="00CA4F30">
      <w:pPr>
        <w:spacing w:after="0"/>
      </w:pPr>
      <w:r>
        <w:t>The</w:t>
      </w:r>
      <w:r w:rsidR="005F423E">
        <w:t xml:space="preserve"> following</w:t>
      </w:r>
      <w:r>
        <w:t xml:space="preserve"> section provides an overview on each of the current Impairment Tables and the functions assessed under the individual </w:t>
      </w:r>
      <w:r w:rsidR="00D304CF">
        <w:t>t</w:t>
      </w:r>
      <w:r>
        <w:t xml:space="preserve">able. </w:t>
      </w:r>
    </w:p>
    <w:p w14:paraId="5FB191B4" w14:textId="77777777" w:rsidR="00CA4F30" w:rsidRDefault="00CA4F30" w:rsidP="00CA4F30">
      <w:pPr>
        <w:spacing w:after="0"/>
      </w:pPr>
    </w:p>
    <w:p w14:paraId="3C129FB3" w14:textId="44A61AD5" w:rsidR="00A4528E" w:rsidRDefault="00A4528E" w:rsidP="00CA4F30">
      <w:pPr>
        <w:spacing w:after="0"/>
      </w:pPr>
      <w:r>
        <w:rPr>
          <w:b/>
        </w:rPr>
        <w:t>Table 1 – Functions Requiring Physical Exertion and Stamina</w:t>
      </w:r>
      <w:r>
        <w:rPr>
          <w:b/>
        </w:rPr>
        <w:br/>
      </w:r>
      <w:r w:rsidR="00B249E5">
        <w:t xml:space="preserve">Used to assess functional impact of impairment, resulting from certain conditions, on activities requiring physical exertion or stamina. </w:t>
      </w:r>
    </w:p>
    <w:p w14:paraId="33603007" w14:textId="77777777" w:rsidR="00CA4F30" w:rsidRDefault="00CA4F30" w:rsidP="00CA4F30">
      <w:pPr>
        <w:spacing w:before="0" w:after="0"/>
      </w:pPr>
    </w:p>
    <w:p w14:paraId="7DF3A0BE" w14:textId="68AA09D0" w:rsidR="00B249E5" w:rsidRDefault="00B249E5" w:rsidP="00CA4F30">
      <w:pPr>
        <w:spacing w:after="0"/>
      </w:pPr>
      <w:r>
        <w:rPr>
          <w:b/>
        </w:rPr>
        <w:t xml:space="preserve">Table 2 – Upper Limb Function </w:t>
      </w:r>
      <w:r>
        <w:rPr>
          <w:b/>
        </w:rPr>
        <w:br/>
      </w:r>
      <w:r>
        <w:t>Used to assess functional impact of impairment, resulting from certain conditions, on activities using hands and arms.</w:t>
      </w:r>
    </w:p>
    <w:p w14:paraId="5E4752CB" w14:textId="77777777" w:rsidR="00CA4F30" w:rsidRDefault="00CA4F30" w:rsidP="00CA4F30">
      <w:pPr>
        <w:spacing w:after="0"/>
      </w:pPr>
    </w:p>
    <w:p w14:paraId="15B8AE61" w14:textId="33D4C286" w:rsidR="00B249E5" w:rsidRDefault="00B249E5" w:rsidP="00CA4F30">
      <w:pPr>
        <w:spacing w:after="0"/>
      </w:pPr>
      <w:r>
        <w:rPr>
          <w:b/>
        </w:rPr>
        <w:t xml:space="preserve">Table 3 – Lower Limb Function </w:t>
      </w:r>
      <w:r>
        <w:rPr>
          <w:b/>
        </w:rPr>
        <w:br/>
      </w:r>
      <w:r>
        <w:t xml:space="preserve">Used to assess functional impact of impairment, resulting from certain conditions, on activities using, or requiring the use of, legs or feet. </w:t>
      </w:r>
    </w:p>
    <w:p w14:paraId="0437659A" w14:textId="77777777" w:rsidR="00CA4F30" w:rsidRDefault="00CA4F30" w:rsidP="00CA4F30">
      <w:pPr>
        <w:spacing w:after="0"/>
      </w:pPr>
    </w:p>
    <w:p w14:paraId="02A0D0BC" w14:textId="3702FDF4" w:rsidR="005B7D43" w:rsidRDefault="00B249E5" w:rsidP="005B7D43">
      <w:pPr>
        <w:spacing w:after="0"/>
      </w:pPr>
      <w:r>
        <w:rPr>
          <w:b/>
        </w:rPr>
        <w:t xml:space="preserve">Table 4 – Spinal Function </w:t>
      </w:r>
      <w:r>
        <w:rPr>
          <w:b/>
        </w:rPr>
        <w:br/>
      </w:r>
      <w:r>
        <w:t>Used to assess functional impact of impairment, resulting from certain conditions, on activities involving spinal function such as bending or turning the back, trunk or neck. This table also instructs it should only be used if the impairment being assessed clearly results from spinal conditions.</w:t>
      </w:r>
    </w:p>
    <w:p w14:paraId="037AF5E9" w14:textId="77777777" w:rsidR="005B7D43" w:rsidRDefault="005B7D43">
      <w:pPr>
        <w:spacing w:before="0" w:after="200" w:line="276" w:lineRule="auto"/>
      </w:pPr>
      <w:r>
        <w:br w:type="page"/>
      </w:r>
    </w:p>
    <w:p w14:paraId="71F88D4F" w14:textId="6E746CB3" w:rsidR="00B249E5" w:rsidRDefault="00B249E5" w:rsidP="005B7D43">
      <w:pPr>
        <w:spacing w:after="0"/>
      </w:pPr>
      <w:r>
        <w:rPr>
          <w:b/>
        </w:rPr>
        <w:lastRenderedPageBreak/>
        <w:t>Table 5 – Mental Health Function</w:t>
      </w:r>
      <w:r>
        <w:rPr>
          <w:b/>
        </w:rPr>
        <w:br/>
      </w:r>
      <w:r>
        <w:t xml:space="preserve">Used to assess functional impact of impairment due to a mental health condition (including recurring episodes of mental health impairment). </w:t>
      </w:r>
    </w:p>
    <w:p w14:paraId="555AD97E" w14:textId="6C2EB0FB" w:rsidR="00B249E5" w:rsidRDefault="00B249E5" w:rsidP="00A4528E">
      <w:r>
        <w:t xml:space="preserve">In recognition of specific characteristics of mental health conditions, this </w:t>
      </w:r>
      <w:r w:rsidR="00D304CF">
        <w:t>t</w:t>
      </w:r>
      <w:r>
        <w:t xml:space="preserve">able contains instructions </w:t>
      </w:r>
      <w:r w:rsidR="00176ECD">
        <w:t>which</w:t>
      </w:r>
      <w:r>
        <w:t xml:space="preserve"> in assessment of these conditions, a number of additional factors should be taken into account, including </w:t>
      </w:r>
      <w:r w:rsidR="008A25ED">
        <w:t xml:space="preserve">that </w:t>
      </w:r>
      <w:r>
        <w:t>a person may not have good</w:t>
      </w:r>
      <w:r w:rsidR="00462138">
        <w:br/>
      </w:r>
      <w:r>
        <w:t xml:space="preserve">self-awareness of their mental health impairment or may not be able to accurately describe its effects and the signs and symptoms of mental health impairment may vary over time. </w:t>
      </w:r>
    </w:p>
    <w:p w14:paraId="640E4BFD" w14:textId="4F09E692" w:rsidR="00B249E5" w:rsidRDefault="00B249E5" w:rsidP="00CA4F30">
      <w:pPr>
        <w:spacing w:after="0"/>
      </w:pPr>
      <w:r>
        <w:t xml:space="preserve">Table 5 also instructs when assessing mental health conditions which are episodic or fluctuating, the impairment rating must be assigned </w:t>
      </w:r>
      <w:r w:rsidR="00882633">
        <w:t xml:space="preserve">which </w:t>
      </w:r>
      <w:r>
        <w:t xml:space="preserve">reflects the person’s overall functional impact, taking into account the severity, duration and frequency of the episodes or fluctuations as appropriate. </w:t>
      </w:r>
    </w:p>
    <w:p w14:paraId="49DF4030" w14:textId="77777777" w:rsidR="00CA4F30" w:rsidRDefault="00CA4F30" w:rsidP="00CA4F30">
      <w:pPr>
        <w:spacing w:after="0"/>
      </w:pPr>
    </w:p>
    <w:p w14:paraId="056EDDC9" w14:textId="73955FB5" w:rsidR="00B249E5" w:rsidRDefault="00B249E5" w:rsidP="00CA4F30">
      <w:pPr>
        <w:spacing w:after="0"/>
      </w:pPr>
      <w:r>
        <w:rPr>
          <w:b/>
        </w:rPr>
        <w:t>Table 6 – Functioning Related to Alcohol, Drug and Other Substance Use</w:t>
      </w:r>
      <w:r>
        <w:rPr>
          <w:b/>
        </w:rPr>
        <w:br/>
      </w:r>
      <w:r>
        <w:t>Used to assess functional impairment resulting from alcohol, drugs or oth</w:t>
      </w:r>
      <w:r w:rsidR="00D304CF">
        <w:t>er harmful substance use. This t</w:t>
      </w:r>
      <w:r>
        <w:t xml:space="preserve">able also clarifies the use of alcohol or drugs does not itself constitute or necessarily indicate permanent impairment. </w:t>
      </w:r>
    </w:p>
    <w:p w14:paraId="12E7F9AE" w14:textId="77777777" w:rsidR="00CA4F30" w:rsidRDefault="00CA4F30" w:rsidP="00CA4F30">
      <w:pPr>
        <w:spacing w:after="0"/>
      </w:pPr>
    </w:p>
    <w:p w14:paraId="1047770A" w14:textId="33386B47" w:rsidR="00860856" w:rsidRDefault="00860856" w:rsidP="00A4528E">
      <w:r>
        <w:rPr>
          <w:b/>
        </w:rPr>
        <w:t xml:space="preserve">Table 7 – Brain Function </w:t>
      </w:r>
      <w:r>
        <w:rPr>
          <w:b/>
        </w:rPr>
        <w:br/>
      </w:r>
      <w:r>
        <w:t xml:space="preserve">Used to assess functional impact of impairment resulting from a neurological or cognitive condition. </w:t>
      </w:r>
    </w:p>
    <w:p w14:paraId="167859F0" w14:textId="5C733E25" w:rsidR="00860856" w:rsidRDefault="00860856" w:rsidP="00A4528E">
      <w:r>
        <w:t>In recognition of specific characteristics of neurological a</w:t>
      </w:r>
      <w:r w:rsidR="00D304CF">
        <w:t>nd cognitive impairments, this t</w:t>
      </w:r>
      <w:r>
        <w:t xml:space="preserve">able contains specific instructions </w:t>
      </w:r>
      <w:r w:rsidR="00176ECD">
        <w:t>which</w:t>
      </w:r>
      <w:r>
        <w:t xml:space="preserve"> in assessment of these conditions, a number of factors should be taken into account, including the signs and symptoms of such impairments may vary over time. </w:t>
      </w:r>
    </w:p>
    <w:p w14:paraId="1901EA26" w14:textId="067ADE29" w:rsidR="00860856" w:rsidRDefault="00860856" w:rsidP="00CA4F30">
      <w:pPr>
        <w:spacing w:after="0"/>
      </w:pPr>
      <w:r>
        <w:t xml:space="preserve">Table 7 also instructs, when assessing neurological or cognitive impairments resulting from conditions which stabilised as episodic or fluctuating, the rating must be assigned </w:t>
      </w:r>
      <w:r w:rsidR="00176ECD">
        <w:t>which</w:t>
      </w:r>
      <w:r>
        <w:t xml:space="preserve"> reflects the person’s overall functional impact, taking into account the severity, duration and frequency of the episodes or fluctuations as appropriate. </w:t>
      </w:r>
    </w:p>
    <w:p w14:paraId="32A983B1" w14:textId="77777777" w:rsidR="00CA4F30" w:rsidRDefault="00CA4F30" w:rsidP="00CA4F30">
      <w:pPr>
        <w:spacing w:after="0"/>
      </w:pPr>
    </w:p>
    <w:p w14:paraId="6E46DE59" w14:textId="26CF0422" w:rsidR="00860856" w:rsidRDefault="00860856" w:rsidP="00CA4F30">
      <w:pPr>
        <w:spacing w:after="0"/>
      </w:pPr>
      <w:r>
        <w:rPr>
          <w:b/>
        </w:rPr>
        <w:t xml:space="preserve">Table 8 – Communication Function </w:t>
      </w:r>
      <w:r>
        <w:rPr>
          <w:b/>
        </w:rPr>
        <w:br/>
      </w:r>
      <w:r>
        <w:t xml:space="preserve">Used to assess functional impact of impairment resulting from certain conditions affecting communication function, </w:t>
      </w:r>
      <w:r w:rsidR="00176ECD">
        <w:t>which</w:t>
      </w:r>
      <w:r>
        <w:t xml:space="preserve"> is understanding or producing speech.</w:t>
      </w:r>
      <w:r w:rsidR="00462138">
        <w:br/>
      </w:r>
      <w:r w:rsidR="00D304CF">
        <w:t>The t</w:t>
      </w:r>
      <w:r>
        <w:t xml:space="preserve">able clarifies </w:t>
      </w:r>
      <w:r w:rsidR="00176ECD">
        <w:t xml:space="preserve">the </w:t>
      </w:r>
      <w:r>
        <w:t>impairments affecting communication function are assessed in relation to the</w:t>
      </w:r>
      <w:r w:rsidR="00176ECD">
        <w:t xml:space="preserve"> person’s main language, defined</w:t>
      </w:r>
      <w:r>
        <w:t xml:space="preserve"> as the language the person most commonly uses. </w:t>
      </w:r>
    </w:p>
    <w:p w14:paraId="4679A037" w14:textId="77777777" w:rsidR="00CA4F30" w:rsidRDefault="00CA4F30" w:rsidP="00CA4F30">
      <w:pPr>
        <w:spacing w:after="0"/>
      </w:pPr>
    </w:p>
    <w:p w14:paraId="33802084" w14:textId="15693BD8" w:rsidR="00860856" w:rsidRDefault="00860856" w:rsidP="00A4528E">
      <w:r>
        <w:rPr>
          <w:b/>
        </w:rPr>
        <w:t xml:space="preserve">Table 9 – Intellectual Function </w:t>
      </w:r>
      <w:r>
        <w:rPr>
          <w:b/>
        </w:rPr>
        <w:br/>
      </w:r>
      <w:r>
        <w:t xml:space="preserve">Used to assess functional impact of impairment resulting from conditions resulting in low intellectual function (IQ score 70 to 85), where the impairment originated before the person turned 18 years of age. </w:t>
      </w:r>
    </w:p>
    <w:p w14:paraId="012992EE" w14:textId="2E606D65" w:rsidR="00860856" w:rsidRDefault="00D304CF" w:rsidP="00A4528E">
      <w:r>
        <w:t>This t</w:t>
      </w:r>
      <w:r w:rsidR="00860856">
        <w:t xml:space="preserve">able specifies an assessment of intellectual function is to be undertaken using certain assessment tools, and how these tools and their scores, are to be applied. </w:t>
      </w:r>
    </w:p>
    <w:p w14:paraId="211C1EE3" w14:textId="277822ED" w:rsidR="00860856" w:rsidRDefault="00860856" w:rsidP="00844B2E">
      <w:pPr>
        <w:spacing w:after="0"/>
      </w:pPr>
      <w:r>
        <w:lastRenderedPageBreak/>
        <w:t xml:space="preserve">Table 9 also clarifies </w:t>
      </w:r>
      <w:r w:rsidR="00176ECD">
        <w:t xml:space="preserve">the </w:t>
      </w:r>
      <w:r>
        <w:t>diagnosis of a learning disorder such as dyslexia does not equate to a diagnosis of intellectual disability and a person with Autism Spectrum Disorder, Fragile X Syndrome or Foetal Alcohol Spectrum Disorder who also has a low IQ,</w:t>
      </w:r>
      <w:r w:rsidR="00D304CF">
        <w:t xml:space="preserve"> should be assessed under this t</w:t>
      </w:r>
      <w:r>
        <w:t xml:space="preserve">able. </w:t>
      </w:r>
    </w:p>
    <w:p w14:paraId="7DAA6049" w14:textId="77777777" w:rsidR="00CA4F30" w:rsidRDefault="00CA4F30" w:rsidP="00844B2E">
      <w:pPr>
        <w:spacing w:after="0"/>
      </w:pPr>
    </w:p>
    <w:p w14:paraId="4E0D228B" w14:textId="34116E89" w:rsidR="00860856" w:rsidRDefault="00860856" w:rsidP="00CA4F30">
      <w:pPr>
        <w:spacing w:after="0"/>
      </w:pPr>
      <w:r>
        <w:rPr>
          <w:b/>
        </w:rPr>
        <w:t xml:space="preserve">Table 10 – Digestive and Reproductive Function </w:t>
      </w:r>
      <w:r>
        <w:rPr>
          <w:b/>
        </w:rPr>
        <w:br/>
      </w:r>
      <w:r>
        <w:t xml:space="preserve">Used to assess functional impact of impairment resulting from conditions </w:t>
      </w:r>
      <w:r w:rsidR="00756157">
        <w:t>which</w:t>
      </w:r>
      <w:r>
        <w:t xml:space="preserve"> affect digestive and reproductive system functions. </w:t>
      </w:r>
    </w:p>
    <w:p w14:paraId="1BCA51C4" w14:textId="77777777" w:rsidR="00CA4F30" w:rsidRDefault="00CA4F30" w:rsidP="00CA4F30">
      <w:pPr>
        <w:spacing w:after="0"/>
      </w:pPr>
    </w:p>
    <w:p w14:paraId="20E56BDE" w14:textId="1C880BB3" w:rsidR="00860856" w:rsidRDefault="00860856" w:rsidP="00A4528E">
      <w:r>
        <w:rPr>
          <w:b/>
        </w:rPr>
        <w:t>Table 11 – Hearing and Other Functions of the Ear</w:t>
      </w:r>
      <w:r>
        <w:rPr>
          <w:b/>
        </w:rPr>
        <w:br/>
      </w:r>
      <w:r>
        <w:t>Used to assess functional impact of impairment resulting from certain conditions on activities involving hearing</w:t>
      </w:r>
      <w:r w:rsidR="00783687">
        <w:t xml:space="preserve"> function, or other functions of the ear.</w:t>
      </w:r>
    </w:p>
    <w:p w14:paraId="2A35A619" w14:textId="66C1B5CA" w:rsidR="00783687" w:rsidRDefault="00D304CF" w:rsidP="00CA4F30">
      <w:pPr>
        <w:spacing w:after="0"/>
      </w:pPr>
      <w:r>
        <w:t>This t</w:t>
      </w:r>
      <w:r w:rsidR="00783687">
        <w:t xml:space="preserve">able also instructs it should be applied with the person using any prescribed hearing aid, cochlear implant or other assistive listening device they usually use. </w:t>
      </w:r>
    </w:p>
    <w:p w14:paraId="778C39F6" w14:textId="77777777" w:rsidR="00CA4F30" w:rsidRDefault="00CA4F30" w:rsidP="00CA4F30">
      <w:pPr>
        <w:spacing w:after="0"/>
      </w:pPr>
    </w:p>
    <w:p w14:paraId="32CBAACD" w14:textId="64C81900" w:rsidR="00783687" w:rsidRDefault="00783687" w:rsidP="00A4528E">
      <w:r>
        <w:rPr>
          <w:b/>
        </w:rPr>
        <w:t xml:space="preserve">Table 12 – Visual Function </w:t>
      </w:r>
      <w:r>
        <w:rPr>
          <w:b/>
        </w:rPr>
        <w:br/>
      </w:r>
      <w:r>
        <w:t xml:space="preserve">Used to assess functional impact of impairment resulting from certain conditions, on activities involving visual function. </w:t>
      </w:r>
    </w:p>
    <w:p w14:paraId="6B7413DA" w14:textId="0D59526A" w:rsidR="00783687" w:rsidRDefault="00D304CF" w:rsidP="00CA4F30">
      <w:pPr>
        <w:spacing w:after="0"/>
      </w:pPr>
      <w:r>
        <w:t>This t</w:t>
      </w:r>
      <w:r w:rsidR="00783687">
        <w:t xml:space="preserve">able also instructs it should be applied with the person using any visual aids, for example glasses or contact lenses, they usually use. </w:t>
      </w:r>
    </w:p>
    <w:p w14:paraId="4A341FE6" w14:textId="77777777" w:rsidR="00CA4F30" w:rsidRDefault="00CA4F30" w:rsidP="00CA4F30">
      <w:pPr>
        <w:spacing w:after="0"/>
      </w:pPr>
    </w:p>
    <w:p w14:paraId="337D95EA" w14:textId="65491B12" w:rsidR="00783687" w:rsidRDefault="00783687" w:rsidP="00CA4F30">
      <w:pPr>
        <w:spacing w:after="0"/>
      </w:pPr>
      <w:r>
        <w:rPr>
          <w:b/>
        </w:rPr>
        <w:t xml:space="preserve">Table 13 – Continence Function </w:t>
      </w:r>
      <w:r>
        <w:rPr>
          <w:b/>
        </w:rPr>
        <w:br/>
      </w:r>
      <w:r>
        <w:t xml:space="preserve">Used to assess functional impact of impairment resulting from certain conditions </w:t>
      </w:r>
      <w:r w:rsidR="00F32489">
        <w:t xml:space="preserve">which </w:t>
      </w:r>
      <w:r>
        <w:t xml:space="preserve">affect maintaining continence of the bladder or bowel. </w:t>
      </w:r>
    </w:p>
    <w:p w14:paraId="40A066C4" w14:textId="77777777" w:rsidR="00CA4F30" w:rsidRDefault="00CA4F30" w:rsidP="00CA4F30">
      <w:pPr>
        <w:spacing w:after="0"/>
      </w:pPr>
    </w:p>
    <w:p w14:paraId="0309867D" w14:textId="3D62A560" w:rsidR="00783687" w:rsidRDefault="00783687" w:rsidP="00CA4F30">
      <w:pPr>
        <w:spacing w:after="0"/>
      </w:pPr>
      <w:r>
        <w:rPr>
          <w:b/>
        </w:rPr>
        <w:t xml:space="preserve">Table 14 – Functions of the Skin </w:t>
      </w:r>
      <w:r>
        <w:rPr>
          <w:b/>
        </w:rPr>
        <w:br/>
      </w:r>
      <w:r>
        <w:t>Used to assess functional impact of impairment resulting from certain disorders of, or injury to, the skin.</w:t>
      </w:r>
    </w:p>
    <w:p w14:paraId="0C6F3A4E" w14:textId="77777777" w:rsidR="00CA4F30" w:rsidRDefault="00CA4F30" w:rsidP="00CA4F30">
      <w:pPr>
        <w:spacing w:after="0"/>
      </w:pPr>
    </w:p>
    <w:p w14:paraId="3F18040F" w14:textId="3C84A3B0" w:rsidR="00783687" w:rsidRDefault="00783687" w:rsidP="00CA4F30">
      <w:pPr>
        <w:spacing w:after="0"/>
      </w:pPr>
      <w:r>
        <w:rPr>
          <w:b/>
        </w:rPr>
        <w:t xml:space="preserve">Table 15 – Functions of Consciousness </w:t>
      </w:r>
      <w:r>
        <w:rPr>
          <w:b/>
        </w:rPr>
        <w:br/>
      </w:r>
      <w:r>
        <w:t xml:space="preserve">Used to assess functional impact of impairment due to involuntary loss of consciousness or altered state of consciousness resulting from certain conditions. </w:t>
      </w:r>
    </w:p>
    <w:p w14:paraId="345061FC" w14:textId="77777777" w:rsidR="00B81995" w:rsidRDefault="00B81995" w:rsidP="00CA4F30">
      <w:pPr>
        <w:spacing w:after="0"/>
      </w:pPr>
    </w:p>
    <w:p w14:paraId="05B9B8E7" w14:textId="77777777" w:rsidR="00C42C82" w:rsidRDefault="00C42C82">
      <w:pPr>
        <w:spacing w:before="0" w:after="200" w:line="276" w:lineRule="auto"/>
        <w:rPr>
          <w:rFonts w:ascii="Georgia" w:eastAsiaTheme="majorEastAsia" w:hAnsi="Georgia" w:cstheme="majorBidi"/>
          <w:bCs/>
          <w:color w:val="005A70"/>
          <w:sz w:val="32"/>
          <w:szCs w:val="26"/>
        </w:rPr>
      </w:pPr>
      <w:r>
        <w:br w:type="page"/>
      </w:r>
    </w:p>
    <w:p w14:paraId="348E3D4C" w14:textId="602BA730" w:rsidR="004E06D2" w:rsidRDefault="004E06D2" w:rsidP="004E06D2">
      <w:pPr>
        <w:pStyle w:val="Heading2"/>
      </w:pPr>
      <w:bookmarkStart w:id="9" w:name="_Toc73104280"/>
      <w:r w:rsidRPr="00C76DF6">
        <w:lastRenderedPageBreak/>
        <w:t xml:space="preserve">Changes Made to DSP </w:t>
      </w:r>
      <w:r w:rsidR="00CA4F30">
        <w:t>s</w:t>
      </w:r>
      <w:r w:rsidRPr="00C76DF6">
        <w:t>ince the Introduction of the Impairment Tables in 2012</w:t>
      </w:r>
      <w:bookmarkEnd w:id="9"/>
    </w:p>
    <w:p w14:paraId="4787F13E" w14:textId="333A2B4E" w:rsidR="004E06D2" w:rsidRDefault="004E16FF" w:rsidP="00C42C82">
      <w:pPr>
        <w:spacing w:after="0"/>
      </w:pPr>
      <w:r>
        <w:t>Since the introduction of the current Impairment Tables on 1 J</w:t>
      </w:r>
      <w:r w:rsidR="003636C1">
        <w:t>anuary</w:t>
      </w:r>
      <w:r>
        <w:t xml:space="preserve"> 2012, there has been a number of significant </w:t>
      </w:r>
      <w:r w:rsidR="00C613C4">
        <w:t xml:space="preserve">policy </w:t>
      </w:r>
      <w:r>
        <w:t>changes to DSP</w:t>
      </w:r>
      <w:r w:rsidR="003636C1">
        <w:t xml:space="preserve"> assessment and qualification criteria. These changes are briefly explained below. </w:t>
      </w:r>
    </w:p>
    <w:p w14:paraId="599C1565" w14:textId="77777777" w:rsidR="00C42C82" w:rsidRDefault="00C42C82" w:rsidP="00C42C82">
      <w:pPr>
        <w:spacing w:after="0"/>
      </w:pPr>
    </w:p>
    <w:p w14:paraId="4C6F24E8" w14:textId="77777777" w:rsidR="00067A3B" w:rsidRPr="00B52EB7" w:rsidRDefault="00067A3B" w:rsidP="00067A3B">
      <w:pPr>
        <w:rPr>
          <w:rFonts w:eastAsia="STZhongsong"/>
          <w:szCs w:val="20"/>
          <w:lang w:val="en-GB" w:eastAsia="zh-CN"/>
        </w:rPr>
      </w:pPr>
      <w:r>
        <w:rPr>
          <w:rFonts w:eastAsia="STZhongsong"/>
          <w:b/>
          <w:szCs w:val="20"/>
          <w:lang w:val="en-GB" w:eastAsia="zh-CN"/>
        </w:rPr>
        <w:t xml:space="preserve">DSP reviews for recipients aged under 35 </w:t>
      </w:r>
    </w:p>
    <w:p w14:paraId="4A7E26E1" w14:textId="5EE7EC59" w:rsidR="00067A3B" w:rsidRDefault="00067A3B" w:rsidP="00C42C82">
      <w:pPr>
        <w:spacing w:after="0"/>
      </w:pPr>
      <w:r>
        <w:t>From 1 July 2014, eligibility reviews were introduced for DSP recipients aged under</w:t>
      </w:r>
      <w:r w:rsidR="00462138">
        <w:br/>
      </w:r>
      <w:r>
        <w:t xml:space="preserve">35 years, who were granted DSP between 1 January 2008 and 31 December 2011 (prior to the introduction of the revised Impairment Tables). This measure also included review of a person’s evidence of participation in </w:t>
      </w:r>
      <w:r w:rsidR="00237EE1">
        <w:t>a Program of Support (</w:t>
      </w:r>
      <w:r>
        <w:t>POS</w:t>
      </w:r>
      <w:r w:rsidR="00237EE1">
        <w:t>)</w:t>
      </w:r>
      <w:r>
        <w:t>. The POS reviews component of the measure commenced on 5 January 2015.</w:t>
      </w:r>
    </w:p>
    <w:p w14:paraId="57AC6F9F" w14:textId="77777777" w:rsidR="00C42C82" w:rsidRDefault="00C42C82" w:rsidP="00C42C82">
      <w:pPr>
        <w:spacing w:after="0"/>
      </w:pPr>
    </w:p>
    <w:p w14:paraId="7C730F99" w14:textId="1B065826" w:rsidR="00067A3B" w:rsidRDefault="00067A3B" w:rsidP="004E06D2">
      <w:pPr>
        <w:rPr>
          <w:b/>
        </w:rPr>
      </w:pPr>
      <w:r>
        <w:rPr>
          <w:b/>
        </w:rPr>
        <w:t>Compulsory participation requirements</w:t>
      </w:r>
    </w:p>
    <w:p w14:paraId="5D70587C" w14:textId="2226124D" w:rsidR="00067A3B" w:rsidRDefault="00067A3B" w:rsidP="00C42C82">
      <w:pPr>
        <w:spacing w:after="0"/>
      </w:pPr>
      <w:r>
        <w:t>From 1 July 2014, DSP recipients aged under 35 years with an assessed work capacity of eight hours or more a week were required to undertake a compulsory work focussed activity such as education and training, or engagement with a job service provider.</w:t>
      </w:r>
    </w:p>
    <w:p w14:paraId="2998C73A" w14:textId="77777777" w:rsidR="00C42C82" w:rsidRDefault="00C42C82" w:rsidP="00C42C82">
      <w:pPr>
        <w:spacing w:after="0"/>
      </w:pPr>
    </w:p>
    <w:p w14:paraId="75663F9E" w14:textId="0E0EC0BF" w:rsidR="00067A3B" w:rsidRDefault="00CE4D8A" w:rsidP="004E06D2">
      <w:pPr>
        <w:rPr>
          <w:b/>
        </w:rPr>
      </w:pPr>
      <w:r>
        <w:rPr>
          <w:b/>
        </w:rPr>
        <w:t>DSP reduced portability</w:t>
      </w:r>
    </w:p>
    <w:p w14:paraId="67052298" w14:textId="1C469CE9" w:rsidR="00CE4D8A" w:rsidRDefault="00CE4D8A" w:rsidP="00C42C82">
      <w:pPr>
        <w:spacing w:after="0"/>
      </w:pPr>
      <w:r>
        <w:t>From 1 January 2015, DSP recipients travelling overseas can only continue to receive payment for a maximum of four weeks overseas within any 12</w:t>
      </w:r>
      <w:r w:rsidR="003A2F52">
        <w:t>-</w:t>
      </w:r>
      <w:r>
        <w:t xml:space="preserve">month period, unless they have been granted indefinite portability. A recipient’s payment will cease if they remain overseas for more than four weeks. </w:t>
      </w:r>
    </w:p>
    <w:p w14:paraId="73C8D385" w14:textId="77777777" w:rsidR="00C42C82" w:rsidRPr="00CE4D8A" w:rsidRDefault="00C42C82" w:rsidP="00C42C82">
      <w:pPr>
        <w:spacing w:after="0"/>
      </w:pPr>
    </w:p>
    <w:p w14:paraId="0C63F027" w14:textId="1950188D" w:rsidR="00067A3B" w:rsidRDefault="003636C1" w:rsidP="003636C1">
      <w:pPr>
        <w:rPr>
          <w:b/>
        </w:rPr>
      </w:pPr>
      <w:r w:rsidRPr="003636C1">
        <w:rPr>
          <w:b/>
        </w:rPr>
        <w:t>Introduction of Government-contracted Doctors and removal of the Treating Doctor’s Report</w:t>
      </w:r>
      <w:r>
        <w:rPr>
          <w:b/>
        </w:rPr>
        <w:t xml:space="preserve"> </w:t>
      </w:r>
    </w:p>
    <w:p w14:paraId="3D3EDE6B" w14:textId="4C8EF379" w:rsidR="003636C1" w:rsidRDefault="003636C1" w:rsidP="003636C1">
      <w:r>
        <w:t>A revised assessment process for DSP was announced as part of the 2014-15 Mid</w:t>
      </w:r>
      <w:r w:rsidR="00B05010">
        <w:noBreakHyphen/>
      </w:r>
      <w:r>
        <w:t xml:space="preserve">Year Economic and Fiscal Outlook and fully introduced from 1 July 2015. The new process introduced the requirement for a Disability Medical Assessment by a Government-contracted Doctor (GCD), and replaced the Treating Doctor’s Report with the requirement for claimants to provide raw medical records in support of their claim. </w:t>
      </w:r>
    </w:p>
    <w:p w14:paraId="7046BDEA" w14:textId="68720D1E" w:rsidR="003636C1" w:rsidRPr="003636C1" w:rsidRDefault="00555BFB" w:rsidP="00C42C82">
      <w:pPr>
        <w:spacing w:after="0"/>
      </w:pPr>
      <w:r>
        <w:rPr>
          <w:rFonts w:eastAsia="STZhongsong"/>
          <w:szCs w:val="20"/>
          <w:lang w:val="en-GB" w:eastAsia="zh-CN"/>
        </w:rPr>
        <w:t>This revised assessment process requires a claimant to lodge supporting medical evidence for the assessment of their claim</w:t>
      </w:r>
      <w:r w:rsidR="002255C1">
        <w:rPr>
          <w:rFonts w:eastAsia="STZhongsong"/>
          <w:szCs w:val="20"/>
          <w:lang w:val="en-GB" w:eastAsia="zh-CN"/>
        </w:rPr>
        <w:t>, rather than the previous process of the treating doctor completing a template form titled Treating Doctor’s Report</w:t>
      </w:r>
      <w:r>
        <w:rPr>
          <w:rFonts w:eastAsia="STZhongsong"/>
          <w:szCs w:val="20"/>
          <w:lang w:val="en-GB" w:eastAsia="zh-CN"/>
        </w:rPr>
        <w:t xml:space="preserve">. This information is used by Job Capacity Assessors and GCDs during their assessment of a person’s claim, along with, typically, a face-to-face assessment with the claimant. </w:t>
      </w:r>
      <w:r w:rsidR="00852E1E">
        <w:rPr>
          <w:rFonts w:eastAsia="STZhongsong"/>
          <w:szCs w:val="20"/>
          <w:lang w:val="en-GB" w:eastAsia="zh-CN"/>
        </w:rPr>
        <w:br/>
      </w:r>
      <w:r w:rsidR="003636C1" w:rsidRPr="00B248AC">
        <w:rPr>
          <w:rFonts w:eastAsia="STZhongsong"/>
          <w:szCs w:val="20"/>
          <w:lang w:val="en-GB" w:eastAsia="zh-CN"/>
        </w:rPr>
        <w:t xml:space="preserve">The </w:t>
      </w:r>
      <w:r w:rsidR="00DD2BC5">
        <w:rPr>
          <w:rFonts w:eastAsia="STZhongsong"/>
          <w:szCs w:val="20"/>
          <w:lang w:val="en-GB" w:eastAsia="zh-CN"/>
        </w:rPr>
        <w:t>changes to the</w:t>
      </w:r>
      <w:r w:rsidR="00DD2BC5" w:rsidRPr="00B248AC">
        <w:rPr>
          <w:rFonts w:eastAsia="STZhongsong"/>
          <w:szCs w:val="20"/>
          <w:lang w:val="en-GB" w:eastAsia="zh-CN"/>
        </w:rPr>
        <w:t xml:space="preserve"> </w:t>
      </w:r>
      <w:r w:rsidR="003636C1" w:rsidRPr="00B248AC">
        <w:rPr>
          <w:rFonts w:eastAsia="STZhongsong"/>
          <w:szCs w:val="20"/>
          <w:lang w:val="en-GB" w:eastAsia="zh-CN"/>
        </w:rPr>
        <w:t xml:space="preserve">assessment process </w:t>
      </w:r>
      <w:r w:rsidR="00DD2BC5" w:rsidRPr="00B248AC">
        <w:rPr>
          <w:rFonts w:eastAsia="STZhongsong"/>
          <w:szCs w:val="20"/>
          <w:lang w:val="en-GB" w:eastAsia="zh-CN"/>
        </w:rPr>
        <w:t>w</w:t>
      </w:r>
      <w:r w:rsidR="00DD2BC5">
        <w:rPr>
          <w:rFonts w:eastAsia="STZhongsong"/>
          <w:szCs w:val="20"/>
          <w:lang w:val="en-GB" w:eastAsia="zh-CN"/>
        </w:rPr>
        <w:t>ere</w:t>
      </w:r>
      <w:r w:rsidR="00DD2BC5" w:rsidRPr="00B248AC">
        <w:rPr>
          <w:rFonts w:eastAsia="STZhongsong"/>
          <w:szCs w:val="20"/>
          <w:lang w:val="en-GB" w:eastAsia="zh-CN"/>
        </w:rPr>
        <w:t xml:space="preserve"> </w:t>
      </w:r>
      <w:r w:rsidR="003636C1" w:rsidRPr="00B248AC">
        <w:rPr>
          <w:rFonts w:eastAsia="STZhongsong"/>
          <w:szCs w:val="20"/>
          <w:lang w:val="en-GB" w:eastAsia="zh-CN"/>
        </w:rPr>
        <w:t>implemented transitionally from January</w:t>
      </w:r>
      <w:r w:rsidR="00D304CF">
        <w:rPr>
          <w:rFonts w:eastAsia="STZhongsong"/>
          <w:szCs w:val="20"/>
          <w:lang w:val="en-GB" w:eastAsia="zh-CN"/>
        </w:rPr>
        <w:t> </w:t>
      </w:r>
      <w:r w:rsidR="003636C1" w:rsidRPr="00B248AC">
        <w:rPr>
          <w:rFonts w:eastAsia="STZhongsong"/>
          <w:szCs w:val="20"/>
          <w:lang w:val="en-GB" w:eastAsia="zh-CN"/>
        </w:rPr>
        <w:t xml:space="preserve">2015 and initially only applied to certain DSP claimants under 35, beginning with claimants aged under 25 who lived in capital cities. It was rolled out to all new DSP applicants </w:t>
      </w:r>
      <w:r w:rsidR="003636C1" w:rsidRPr="00C42C82">
        <w:t>from 1 July 2015.</w:t>
      </w:r>
    </w:p>
    <w:p w14:paraId="740DC57A" w14:textId="77777777" w:rsidR="00C42C82" w:rsidRDefault="00C42C82">
      <w:pPr>
        <w:spacing w:before="0" w:after="200" w:line="276" w:lineRule="auto"/>
        <w:rPr>
          <w:rFonts w:ascii="Georgia" w:eastAsiaTheme="majorEastAsia" w:hAnsi="Georgia" w:cstheme="majorBidi"/>
          <w:bCs/>
          <w:color w:val="24596E"/>
          <w:sz w:val="36"/>
          <w:szCs w:val="28"/>
        </w:rPr>
      </w:pPr>
      <w:r>
        <w:br w:type="page"/>
      </w:r>
    </w:p>
    <w:p w14:paraId="20BBF610" w14:textId="394DADB5" w:rsidR="00B96A12" w:rsidRPr="00EF1AC7" w:rsidRDefault="00F90E57" w:rsidP="00337926">
      <w:pPr>
        <w:pStyle w:val="Heading1"/>
      </w:pPr>
      <w:bookmarkStart w:id="10" w:name="_Toc73104281"/>
      <w:r w:rsidRPr="00EF1AC7">
        <w:lastRenderedPageBreak/>
        <w:t xml:space="preserve">Existing </w:t>
      </w:r>
      <w:r w:rsidR="00C02787" w:rsidRPr="00EF1AC7">
        <w:t>Feedback</w:t>
      </w:r>
      <w:bookmarkEnd w:id="10"/>
    </w:p>
    <w:p w14:paraId="44C5E465" w14:textId="6D4FF441" w:rsidR="001E3FC7" w:rsidRDefault="00D82823" w:rsidP="00B96A12">
      <w:pPr>
        <w:rPr>
          <w:rFonts w:asciiTheme="minorHAnsi" w:hAnsiTheme="minorHAnsi" w:cstheme="minorHAnsi"/>
        </w:rPr>
      </w:pPr>
      <w:r w:rsidRPr="004C2333">
        <w:rPr>
          <w:rFonts w:asciiTheme="minorHAnsi" w:hAnsiTheme="minorHAnsi" w:cstheme="minorHAnsi"/>
        </w:rPr>
        <w:t>S</w:t>
      </w:r>
      <w:r w:rsidR="00B96A12" w:rsidRPr="004C2333">
        <w:rPr>
          <w:rFonts w:asciiTheme="minorHAnsi" w:hAnsiTheme="minorHAnsi" w:cstheme="minorHAnsi"/>
        </w:rPr>
        <w:t xml:space="preserve">takeholders </w:t>
      </w:r>
      <w:r w:rsidRPr="004C2333">
        <w:rPr>
          <w:rFonts w:asciiTheme="minorHAnsi" w:hAnsiTheme="minorHAnsi" w:cstheme="minorHAnsi"/>
        </w:rPr>
        <w:t xml:space="preserve">have </w:t>
      </w:r>
      <w:r w:rsidR="001E3FC7">
        <w:rPr>
          <w:rFonts w:asciiTheme="minorHAnsi" w:hAnsiTheme="minorHAnsi" w:cstheme="minorHAnsi"/>
        </w:rPr>
        <w:t xml:space="preserve">previously raised the following issues with </w:t>
      </w:r>
      <w:r w:rsidR="008C008C">
        <w:rPr>
          <w:rFonts w:asciiTheme="minorHAnsi" w:hAnsiTheme="minorHAnsi" w:cstheme="minorHAnsi"/>
        </w:rPr>
        <w:t xml:space="preserve">the </w:t>
      </w:r>
      <w:r w:rsidR="001E3FC7">
        <w:rPr>
          <w:rFonts w:asciiTheme="minorHAnsi" w:hAnsiTheme="minorHAnsi" w:cstheme="minorHAnsi"/>
        </w:rPr>
        <w:t>Department</w:t>
      </w:r>
      <w:r w:rsidR="00D304CF">
        <w:rPr>
          <w:rFonts w:asciiTheme="minorHAnsi" w:hAnsiTheme="minorHAnsi" w:cstheme="minorHAnsi"/>
        </w:rPr>
        <w:t xml:space="preserve"> of Social</w:t>
      </w:r>
      <w:r w:rsidR="008C008C">
        <w:rPr>
          <w:rFonts w:asciiTheme="minorHAnsi" w:hAnsiTheme="minorHAnsi" w:cstheme="minorHAnsi"/>
        </w:rPr>
        <w:t xml:space="preserve"> Services</w:t>
      </w:r>
      <w:r w:rsidR="001E3FC7">
        <w:rPr>
          <w:rFonts w:asciiTheme="minorHAnsi" w:hAnsiTheme="minorHAnsi" w:cstheme="minorHAnsi"/>
        </w:rPr>
        <w:t xml:space="preserve">. </w:t>
      </w:r>
    </w:p>
    <w:p w14:paraId="41AD0905" w14:textId="77777777" w:rsidR="001E3FC7" w:rsidRDefault="001E3FC7" w:rsidP="001E3FC7">
      <w:pPr>
        <w:pStyle w:val="ListParagraph"/>
        <w:numPr>
          <w:ilvl w:val="0"/>
          <w:numId w:val="16"/>
        </w:numPr>
        <w:rPr>
          <w:rFonts w:asciiTheme="minorHAnsi" w:hAnsiTheme="minorHAnsi" w:cstheme="minorHAnsi"/>
        </w:rPr>
      </w:pPr>
      <w:r>
        <w:rPr>
          <w:rFonts w:asciiTheme="minorHAnsi" w:hAnsiTheme="minorHAnsi" w:cstheme="minorHAnsi"/>
        </w:rPr>
        <w:t xml:space="preserve">The criteria for a medical condition to be Fully Diagnosed, Treated and Stabilised (FDTS), </w:t>
      </w:r>
    </w:p>
    <w:p w14:paraId="771A7EFF" w14:textId="77777777" w:rsidR="001E3FC7" w:rsidRDefault="001E3FC7" w:rsidP="001E3FC7">
      <w:pPr>
        <w:pStyle w:val="ListParagraph"/>
        <w:numPr>
          <w:ilvl w:val="0"/>
          <w:numId w:val="16"/>
        </w:numPr>
        <w:rPr>
          <w:rFonts w:asciiTheme="minorHAnsi" w:hAnsiTheme="minorHAnsi" w:cstheme="minorHAnsi"/>
        </w:rPr>
      </w:pPr>
      <w:r>
        <w:rPr>
          <w:rFonts w:asciiTheme="minorHAnsi" w:hAnsiTheme="minorHAnsi" w:cstheme="minorHAnsi"/>
        </w:rPr>
        <w:t xml:space="preserve">The criteria for a ‘severe impairment’ can be difficult for people with episodic and </w:t>
      </w:r>
      <w:r w:rsidR="00501559" w:rsidRPr="001E3FC7">
        <w:rPr>
          <w:rFonts w:asciiTheme="minorHAnsi" w:hAnsiTheme="minorHAnsi" w:cstheme="minorHAnsi"/>
        </w:rPr>
        <w:t>fluctuating conditions</w:t>
      </w:r>
      <w:r>
        <w:rPr>
          <w:rFonts w:asciiTheme="minorHAnsi" w:hAnsiTheme="minorHAnsi" w:cstheme="minorHAnsi"/>
        </w:rPr>
        <w:t xml:space="preserve">, </w:t>
      </w:r>
    </w:p>
    <w:p w14:paraId="063F824D" w14:textId="77777777" w:rsidR="001E3FC7" w:rsidRDefault="001E3FC7" w:rsidP="001E3FC7">
      <w:pPr>
        <w:pStyle w:val="ListParagraph"/>
        <w:numPr>
          <w:ilvl w:val="0"/>
          <w:numId w:val="16"/>
        </w:numPr>
        <w:rPr>
          <w:rFonts w:asciiTheme="minorHAnsi" w:hAnsiTheme="minorHAnsi" w:cstheme="minorHAnsi"/>
        </w:rPr>
      </w:pPr>
      <w:r>
        <w:rPr>
          <w:rFonts w:asciiTheme="minorHAnsi" w:hAnsiTheme="minorHAnsi" w:cstheme="minorHAnsi"/>
        </w:rPr>
        <w:t xml:space="preserve">The assessment of co-morbidities under the Impairment Tables, </w:t>
      </w:r>
    </w:p>
    <w:p w14:paraId="65BBC1C1" w14:textId="77777777" w:rsidR="001E3FC7" w:rsidRDefault="001E3FC7" w:rsidP="001E3FC7">
      <w:pPr>
        <w:pStyle w:val="ListParagraph"/>
        <w:numPr>
          <w:ilvl w:val="0"/>
          <w:numId w:val="16"/>
        </w:numPr>
        <w:rPr>
          <w:rFonts w:asciiTheme="minorHAnsi" w:hAnsiTheme="minorHAnsi" w:cstheme="minorHAnsi"/>
        </w:rPr>
      </w:pPr>
      <w:r>
        <w:rPr>
          <w:rFonts w:asciiTheme="minorHAnsi" w:hAnsiTheme="minorHAnsi" w:cstheme="minorHAnsi"/>
        </w:rPr>
        <w:t xml:space="preserve">The costs of gathering the required medical information, </w:t>
      </w:r>
    </w:p>
    <w:p w14:paraId="0850F224" w14:textId="77777777" w:rsidR="001E3FC7" w:rsidRDefault="001E3FC7" w:rsidP="001E3FC7">
      <w:pPr>
        <w:pStyle w:val="ListParagraph"/>
        <w:numPr>
          <w:ilvl w:val="0"/>
          <w:numId w:val="16"/>
        </w:numPr>
        <w:rPr>
          <w:rFonts w:asciiTheme="minorHAnsi" w:hAnsiTheme="minorHAnsi" w:cstheme="minorHAnsi"/>
        </w:rPr>
      </w:pPr>
      <w:r>
        <w:rPr>
          <w:rFonts w:asciiTheme="minorHAnsi" w:hAnsiTheme="minorHAnsi" w:cstheme="minorHAnsi"/>
        </w:rPr>
        <w:t xml:space="preserve">The potential gaps in the current Impairment Tables when it comes to the assessment of some medical conditions, </w:t>
      </w:r>
    </w:p>
    <w:p w14:paraId="78408500" w14:textId="77777777" w:rsidR="001E3FC7" w:rsidRDefault="001E3FC7" w:rsidP="001E3FC7">
      <w:pPr>
        <w:pStyle w:val="ListParagraph"/>
        <w:numPr>
          <w:ilvl w:val="0"/>
          <w:numId w:val="16"/>
        </w:numPr>
        <w:rPr>
          <w:rFonts w:asciiTheme="minorHAnsi" w:hAnsiTheme="minorHAnsi" w:cstheme="minorHAnsi"/>
        </w:rPr>
      </w:pPr>
      <w:r>
        <w:rPr>
          <w:rFonts w:asciiTheme="minorHAnsi" w:hAnsiTheme="minorHAnsi" w:cstheme="minorHAnsi"/>
        </w:rPr>
        <w:t>The complexity of the claim process for DSP,</w:t>
      </w:r>
    </w:p>
    <w:p w14:paraId="146C0352" w14:textId="77777777" w:rsidR="001E3FC7" w:rsidRDefault="001E3FC7" w:rsidP="001E3FC7">
      <w:pPr>
        <w:pStyle w:val="ListParagraph"/>
        <w:numPr>
          <w:ilvl w:val="0"/>
          <w:numId w:val="16"/>
        </w:numPr>
        <w:rPr>
          <w:rFonts w:asciiTheme="minorHAnsi" w:hAnsiTheme="minorHAnsi" w:cstheme="minorHAnsi"/>
        </w:rPr>
      </w:pPr>
      <w:r>
        <w:rPr>
          <w:rFonts w:asciiTheme="minorHAnsi" w:hAnsiTheme="minorHAnsi" w:cstheme="minorHAnsi"/>
        </w:rPr>
        <w:t xml:space="preserve">The Program of Support requirement, </w:t>
      </w:r>
    </w:p>
    <w:p w14:paraId="76A1113E" w14:textId="77777777" w:rsidR="001E3FC7" w:rsidRDefault="001E3FC7" w:rsidP="001E3FC7">
      <w:pPr>
        <w:pStyle w:val="ListParagraph"/>
        <w:numPr>
          <w:ilvl w:val="0"/>
          <w:numId w:val="16"/>
        </w:numPr>
        <w:rPr>
          <w:rFonts w:asciiTheme="minorHAnsi" w:hAnsiTheme="minorHAnsi" w:cstheme="minorHAnsi"/>
        </w:rPr>
      </w:pPr>
      <w:r>
        <w:rPr>
          <w:rFonts w:asciiTheme="minorHAnsi" w:hAnsiTheme="minorHAnsi" w:cstheme="minorHAnsi"/>
        </w:rPr>
        <w:t>The use of Government-contracted Doctors (GCDs),</w:t>
      </w:r>
    </w:p>
    <w:p w14:paraId="1413925D" w14:textId="70D13466" w:rsidR="00EF4EEE" w:rsidRPr="005B7D43" w:rsidRDefault="001E3FC7" w:rsidP="00EF4EEE">
      <w:pPr>
        <w:pStyle w:val="ListParagraph"/>
        <w:numPr>
          <w:ilvl w:val="0"/>
          <w:numId w:val="16"/>
        </w:numPr>
        <w:rPr>
          <w:rFonts w:asciiTheme="minorHAnsi" w:hAnsiTheme="minorHAnsi" w:cstheme="minorHAnsi"/>
        </w:rPr>
      </w:pPr>
      <w:r>
        <w:rPr>
          <w:rFonts w:asciiTheme="minorHAnsi" w:hAnsiTheme="minorHAnsi" w:cstheme="minorHAnsi"/>
        </w:rPr>
        <w:t>The challenge for people living in remote and regional areas to gather the required medical evidence.</w:t>
      </w:r>
    </w:p>
    <w:p w14:paraId="45F9D849" w14:textId="77777777" w:rsidR="00624D9E" w:rsidRDefault="00624D9E">
      <w:pPr>
        <w:spacing w:before="0" w:after="200" w:line="276" w:lineRule="auto"/>
        <w:rPr>
          <w:rFonts w:ascii="Georgia" w:eastAsiaTheme="majorEastAsia" w:hAnsi="Georgia" w:cstheme="majorBidi"/>
          <w:bCs/>
          <w:color w:val="24596E"/>
          <w:sz w:val="36"/>
          <w:szCs w:val="28"/>
        </w:rPr>
      </w:pPr>
      <w:r>
        <w:br w:type="page"/>
      </w:r>
    </w:p>
    <w:p w14:paraId="4DE2ACF6" w14:textId="6A728233" w:rsidR="00EF4EEE" w:rsidRDefault="00EF4EEE" w:rsidP="00EF4EEE">
      <w:pPr>
        <w:pStyle w:val="Heading1"/>
      </w:pPr>
      <w:bookmarkStart w:id="11" w:name="_Toc73104282"/>
      <w:r>
        <w:lastRenderedPageBreak/>
        <w:t>Questions and Answers</w:t>
      </w:r>
      <w:bookmarkEnd w:id="11"/>
    </w:p>
    <w:p w14:paraId="0C123588" w14:textId="7C8D9001" w:rsidR="008152A1" w:rsidRPr="00086596" w:rsidRDefault="008152A1" w:rsidP="00EF4EEE">
      <w:pPr>
        <w:rPr>
          <w:rFonts w:asciiTheme="minorHAnsi" w:hAnsiTheme="minorHAnsi" w:cstheme="minorHAnsi"/>
        </w:rPr>
      </w:pPr>
      <w:r w:rsidRPr="00086596">
        <w:rPr>
          <w:rFonts w:asciiTheme="minorHAnsi" w:hAnsiTheme="minorHAnsi" w:cstheme="minorHAnsi"/>
          <w:b/>
        </w:rPr>
        <w:t>Question:</w:t>
      </w:r>
      <w:r w:rsidRPr="00086596">
        <w:rPr>
          <w:rFonts w:asciiTheme="minorHAnsi" w:hAnsiTheme="minorHAnsi" w:cstheme="minorHAnsi"/>
          <w:b/>
        </w:rPr>
        <w:br/>
      </w:r>
      <w:r w:rsidRPr="00086596">
        <w:rPr>
          <w:rFonts w:asciiTheme="minorHAnsi" w:hAnsiTheme="minorHAnsi" w:cstheme="minorHAnsi"/>
        </w:rPr>
        <w:t xml:space="preserve">Is the entire </w:t>
      </w:r>
      <w:r w:rsidR="00D304CF">
        <w:rPr>
          <w:rFonts w:asciiTheme="minorHAnsi" w:hAnsiTheme="minorHAnsi" w:cstheme="minorHAnsi"/>
        </w:rPr>
        <w:t>l</w:t>
      </w:r>
      <w:r w:rsidRPr="00086596">
        <w:rPr>
          <w:rFonts w:asciiTheme="minorHAnsi" w:hAnsiTheme="minorHAnsi" w:cstheme="minorHAnsi"/>
        </w:rPr>
        <w:t xml:space="preserve">egislative </w:t>
      </w:r>
      <w:r w:rsidR="00D304CF">
        <w:rPr>
          <w:rFonts w:asciiTheme="minorHAnsi" w:hAnsiTheme="minorHAnsi" w:cstheme="minorHAnsi"/>
        </w:rPr>
        <w:t>i</w:t>
      </w:r>
      <w:r w:rsidRPr="00086596">
        <w:rPr>
          <w:rFonts w:asciiTheme="minorHAnsi" w:hAnsiTheme="minorHAnsi" w:cstheme="minorHAnsi"/>
        </w:rPr>
        <w:t xml:space="preserve">nstrument subject to the review, or just the 15 Impairment Tables? </w:t>
      </w:r>
    </w:p>
    <w:p w14:paraId="319C65EB" w14:textId="22FCBC8B" w:rsidR="008152A1" w:rsidRPr="00086596" w:rsidRDefault="008152A1" w:rsidP="00EF4EEE">
      <w:pPr>
        <w:rPr>
          <w:rFonts w:asciiTheme="minorHAnsi" w:hAnsiTheme="minorHAnsi" w:cstheme="minorHAnsi"/>
        </w:rPr>
      </w:pPr>
      <w:r w:rsidRPr="00086596">
        <w:rPr>
          <w:rFonts w:asciiTheme="minorHAnsi" w:hAnsiTheme="minorHAnsi" w:cstheme="minorHAnsi"/>
          <w:b/>
        </w:rPr>
        <w:t xml:space="preserve">Answer: </w:t>
      </w:r>
      <w:r w:rsidRPr="00086596">
        <w:rPr>
          <w:rFonts w:asciiTheme="minorHAnsi" w:hAnsiTheme="minorHAnsi" w:cstheme="minorHAnsi"/>
          <w:b/>
        </w:rPr>
        <w:br/>
      </w:r>
      <w:r w:rsidR="00EB4C77" w:rsidRPr="00086596">
        <w:rPr>
          <w:rFonts w:asciiTheme="minorHAnsi" w:hAnsiTheme="minorHAnsi" w:cstheme="minorHAnsi"/>
        </w:rPr>
        <w:t xml:space="preserve">The entire </w:t>
      </w:r>
      <w:r w:rsidR="00D304CF">
        <w:rPr>
          <w:rFonts w:asciiTheme="minorHAnsi" w:hAnsiTheme="minorHAnsi" w:cstheme="minorHAnsi"/>
        </w:rPr>
        <w:t>l</w:t>
      </w:r>
      <w:r w:rsidR="00EB4C77" w:rsidRPr="00086596">
        <w:rPr>
          <w:rFonts w:asciiTheme="minorHAnsi" w:hAnsiTheme="minorHAnsi" w:cstheme="minorHAnsi"/>
        </w:rPr>
        <w:t xml:space="preserve">egislative </w:t>
      </w:r>
      <w:r w:rsidR="00D304CF">
        <w:rPr>
          <w:rFonts w:asciiTheme="minorHAnsi" w:hAnsiTheme="minorHAnsi" w:cstheme="minorHAnsi"/>
        </w:rPr>
        <w:t>i</w:t>
      </w:r>
      <w:r w:rsidR="00EB4C77" w:rsidRPr="00086596">
        <w:rPr>
          <w:rFonts w:asciiTheme="minorHAnsi" w:hAnsiTheme="minorHAnsi" w:cstheme="minorHAnsi"/>
        </w:rPr>
        <w:t xml:space="preserve">nstrument, including the rules for applying the Impairment Tables (Part 2 of the </w:t>
      </w:r>
      <w:r w:rsidR="00D304CF">
        <w:rPr>
          <w:rFonts w:asciiTheme="minorHAnsi" w:hAnsiTheme="minorHAnsi" w:cstheme="minorHAnsi"/>
        </w:rPr>
        <w:t>l</w:t>
      </w:r>
      <w:r w:rsidR="00EB4C77" w:rsidRPr="00086596">
        <w:rPr>
          <w:rFonts w:asciiTheme="minorHAnsi" w:hAnsiTheme="minorHAnsi" w:cstheme="minorHAnsi"/>
        </w:rPr>
        <w:t xml:space="preserve">egislative </w:t>
      </w:r>
      <w:r w:rsidR="00D304CF">
        <w:rPr>
          <w:rFonts w:asciiTheme="minorHAnsi" w:hAnsiTheme="minorHAnsi" w:cstheme="minorHAnsi"/>
        </w:rPr>
        <w:t>i</w:t>
      </w:r>
      <w:r w:rsidR="00EB4C77" w:rsidRPr="00086596">
        <w:rPr>
          <w:rFonts w:asciiTheme="minorHAnsi" w:hAnsiTheme="minorHAnsi" w:cstheme="minorHAnsi"/>
        </w:rPr>
        <w:t xml:space="preserve">nstrument), </w:t>
      </w:r>
      <w:r w:rsidR="00C0089A">
        <w:rPr>
          <w:rFonts w:asciiTheme="minorHAnsi" w:hAnsiTheme="minorHAnsi" w:cstheme="minorHAnsi"/>
        </w:rPr>
        <w:t>are subject to</w:t>
      </w:r>
      <w:r w:rsidR="00EB4C77" w:rsidRPr="00086596">
        <w:rPr>
          <w:rFonts w:asciiTheme="minorHAnsi" w:hAnsiTheme="minorHAnsi" w:cstheme="minorHAnsi"/>
        </w:rPr>
        <w:t xml:space="preserve"> review. </w:t>
      </w:r>
    </w:p>
    <w:p w14:paraId="57FEB519" w14:textId="77777777" w:rsidR="00EB4C77" w:rsidRPr="00086596" w:rsidRDefault="00EB4C77" w:rsidP="00EF4EEE">
      <w:pPr>
        <w:rPr>
          <w:rFonts w:asciiTheme="minorHAnsi" w:hAnsiTheme="minorHAnsi" w:cstheme="minorHAnsi"/>
        </w:rPr>
      </w:pPr>
      <w:r w:rsidRPr="00086596">
        <w:rPr>
          <w:rFonts w:asciiTheme="minorHAnsi" w:hAnsiTheme="minorHAnsi" w:cstheme="minorHAnsi"/>
        </w:rPr>
        <w:br/>
      </w:r>
      <w:r w:rsidRPr="00086596">
        <w:rPr>
          <w:rFonts w:asciiTheme="minorHAnsi" w:hAnsiTheme="minorHAnsi" w:cstheme="minorHAnsi"/>
          <w:b/>
        </w:rPr>
        <w:t>Question:</w:t>
      </w:r>
      <w:r w:rsidRPr="00086596">
        <w:rPr>
          <w:rFonts w:asciiTheme="minorHAnsi" w:hAnsiTheme="minorHAnsi" w:cstheme="minorHAnsi"/>
          <w:b/>
        </w:rPr>
        <w:br/>
      </w:r>
      <w:r w:rsidRPr="00086596">
        <w:rPr>
          <w:rFonts w:asciiTheme="minorHAnsi" w:hAnsiTheme="minorHAnsi" w:cstheme="minorHAnsi"/>
        </w:rPr>
        <w:t xml:space="preserve">Will other DSP processes be considered as part of this review? </w:t>
      </w:r>
    </w:p>
    <w:p w14:paraId="617659EB" w14:textId="5DF97B27" w:rsidR="00EB4C77" w:rsidRPr="00086596" w:rsidRDefault="00EB4C77" w:rsidP="00EF4EEE">
      <w:pPr>
        <w:rPr>
          <w:rFonts w:asciiTheme="minorHAnsi" w:hAnsiTheme="minorHAnsi" w:cstheme="minorHAnsi"/>
        </w:rPr>
      </w:pPr>
      <w:r w:rsidRPr="0066743D">
        <w:rPr>
          <w:rFonts w:asciiTheme="minorHAnsi" w:hAnsiTheme="minorHAnsi" w:cstheme="minorHAnsi"/>
          <w:b/>
        </w:rPr>
        <w:t>Answer:</w:t>
      </w:r>
      <w:r w:rsidRPr="0066743D">
        <w:rPr>
          <w:rFonts w:asciiTheme="minorHAnsi" w:hAnsiTheme="minorHAnsi" w:cstheme="minorHAnsi"/>
          <w:b/>
        </w:rPr>
        <w:br/>
      </w:r>
      <w:r w:rsidRPr="0066743D">
        <w:rPr>
          <w:rFonts w:asciiTheme="minorHAnsi" w:hAnsiTheme="minorHAnsi" w:cstheme="minorHAnsi"/>
        </w:rPr>
        <w:t xml:space="preserve">The focus of this review is the Impairment Tables, based on the </w:t>
      </w:r>
      <w:r w:rsidR="00D304CF">
        <w:rPr>
          <w:rFonts w:asciiTheme="minorHAnsi" w:hAnsiTheme="minorHAnsi" w:cstheme="minorHAnsi"/>
        </w:rPr>
        <w:t>l</w:t>
      </w:r>
      <w:r w:rsidRPr="0066743D">
        <w:rPr>
          <w:rFonts w:asciiTheme="minorHAnsi" w:hAnsiTheme="minorHAnsi" w:cstheme="minorHAnsi"/>
        </w:rPr>
        <w:t xml:space="preserve">egislative </w:t>
      </w:r>
      <w:r w:rsidR="00D304CF">
        <w:rPr>
          <w:rFonts w:asciiTheme="minorHAnsi" w:hAnsiTheme="minorHAnsi" w:cstheme="minorHAnsi"/>
        </w:rPr>
        <w:t>i</w:t>
      </w:r>
      <w:r w:rsidRPr="0066743D">
        <w:rPr>
          <w:rFonts w:asciiTheme="minorHAnsi" w:hAnsiTheme="minorHAnsi" w:cstheme="minorHAnsi"/>
        </w:rPr>
        <w:t xml:space="preserve">nstrument sun-setting on 1 April 2022. </w:t>
      </w:r>
      <w:r w:rsidR="00480DCB">
        <w:rPr>
          <w:rFonts w:asciiTheme="minorHAnsi" w:hAnsiTheme="minorHAnsi" w:cstheme="minorHAnsi"/>
        </w:rPr>
        <w:t>O</w:t>
      </w:r>
      <w:r w:rsidRPr="0066743D">
        <w:rPr>
          <w:rFonts w:asciiTheme="minorHAnsi" w:hAnsiTheme="minorHAnsi" w:cstheme="minorHAnsi"/>
        </w:rPr>
        <w:t>ther concerns around DSP</w:t>
      </w:r>
      <w:r w:rsidR="00480DCB">
        <w:rPr>
          <w:rFonts w:asciiTheme="minorHAnsi" w:hAnsiTheme="minorHAnsi" w:cstheme="minorHAnsi"/>
        </w:rPr>
        <w:t xml:space="preserve"> raised by stakeholders</w:t>
      </w:r>
      <w:r w:rsidRPr="0066743D">
        <w:rPr>
          <w:rFonts w:asciiTheme="minorHAnsi" w:hAnsiTheme="minorHAnsi" w:cstheme="minorHAnsi"/>
        </w:rPr>
        <w:t xml:space="preserve"> </w:t>
      </w:r>
      <w:r w:rsidR="00213EA4" w:rsidRPr="0066743D">
        <w:rPr>
          <w:rFonts w:asciiTheme="minorHAnsi" w:hAnsiTheme="minorHAnsi" w:cstheme="minorHAnsi"/>
        </w:rPr>
        <w:t>will be considered in future policy work subject to Government decisions</w:t>
      </w:r>
      <w:r w:rsidRPr="0066743D">
        <w:rPr>
          <w:rFonts w:asciiTheme="minorHAnsi" w:hAnsiTheme="minorHAnsi" w:cstheme="minorHAnsi"/>
        </w:rPr>
        <w:t>.</w:t>
      </w:r>
    </w:p>
    <w:p w14:paraId="14648469" w14:textId="65158DF5" w:rsidR="00EB4C77" w:rsidRPr="00086596" w:rsidRDefault="00EB4C77" w:rsidP="00EF4EEE">
      <w:pPr>
        <w:rPr>
          <w:rFonts w:asciiTheme="minorHAnsi" w:hAnsiTheme="minorHAnsi" w:cstheme="minorHAnsi"/>
        </w:rPr>
      </w:pPr>
      <w:r w:rsidRPr="00086596">
        <w:rPr>
          <w:rFonts w:asciiTheme="minorHAnsi" w:hAnsiTheme="minorHAnsi" w:cstheme="minorHAnsi"/>
        </w:rPr>
        <w:br/>
      </w:r>
      <w:r w:rsidRPr="00086596">
        <w:rPr>
          <w:rFonts w:asciiTheme="minorHAnsi" w:hAnsiTheme="minorHAnsi" w:cstheme="minorHAnsi"/>
          <w:b/>
        </w:rPr>
        <w:t xml:space="preserve">Question: </w:t>
      </w:r>
      <w:r w:rsidRPr="00086596">
        <w:rPr>
          <w:rFonts w:asciiTheme="minorHAnsi" w:hAnsiTheme="minorHAnsi" w:cstheme="minorHAnsi"/>
          <w:b/>
        </w:rPr>
        <w:br/>
      </w:r>
      <w:r w:rsidRPr="00086596">
        <w:rPr>
          <w:rFonts w:asciiTheme="minorHAnsi" w:hAnsiTheme="minorHAnsi" w:cstheme="minorHAnsi"/>
        </w:rPr>
        <w:t>Are the Program o</w:t>
      </w:r>
      <w:r w:rsidR="002900C0" w:rsidRPr="00086596">
        <w:rPr>
          <w:rFonts w:asciiTheme="minorHAnsi" w:hAnsiTheme="minorHAnsi" w:cstheme="minorHAnsi"/>
        </w:rPr>
        <w:t>f</w:t>
      </w:r>
      <w:r w:rsidRPr="00086596">
        <w:rPr>
          <w:rFonts w:asciiTheme="minorHAnsi" w:hAnsiTheme="minorHAnsi" w:cstheme="minorHAnsi"/>
        </w:rPr>
        <w:t xml:space="preserve"> Support</w:t>
      </w:r>
      <w:r w:rsidR="00C0089A">
        <w:rPr>
          <w:rFonts w:asciiTheme="minorHAnsi" w:hAnsiTheme="minorHAnsi" w:cstheme="minorHAnsi"/>
        </w:rPr>
        <w:t xml:space="preserve"> (POS)</w:t>
      </w:r>
      <w:r w:rsidRPr="00086596">
        <w:rPr>
          <w:rFonts w:asciiTheme="minorHAnsi" w:hAnsiTheme="minorHAnsi" w:cstheme="minorHAnsi"/>
        </w:rPr>
        <w:t xml:space="preserve"> rules part of the Impairment Tables </w:t>
      </w:r>
      <w:r w:rsidR="00E52880">
        <w:rPr>
          <w:rFonts w:asciiTheme="minorHAnsi" w:hAnsiTheme="minorHAnsi" w:cstheme="minorHAnsi"/>
        </w:rPr>
        <w:t>l</w:t>
      </w:r>
      <w:r w:rsidRPr="00086596">
        <w:rPr>
          <w:rFonts w:asciiTheme="minorHAnsi" w:hAnsiTheme="minorHAnsi" w:cstheme="minorHAnsi"/>
        </w:rPr>
        <w:t xml:space="preserve">egislative </w:t>
      </w:r>
      <w:r w:rsidR="00E52880">
        <w:rPr>
          <w:rFonts w:asciiTheme="minorHAnsi" w:hAnsiTheme="minorHAnsi" w:cstheme="minorHAnsi"/>
        </w:rPr>
        <w:t>i</w:t>
      </w:r>
      <w:r w:rsidRPr="00086596">
        <w:rPr>
          <w:rFonts w:asciiTheme="minorHAnsi" w:hAnsiTheme="minorHAnsi" w:cstheme="minorHAnsi"/>
        </w:rPr>
        <w:t xml:space="preserve">nstrument? </w:t>
      </w:r>
    </w:p>
    <w:p w14:paraId="6F38632B" w14:textId="54EADCEF" w:rsidR="00EB4C77" w:rsidRPr="00086596" w:rsidRDefault="00EB4C77" w:rsidP="00EF4EEE">
      <w:pPr>
        <w:rPr>
          <w:rFonts w:asciiTheme="minorHAnsi" w:hAnsiTheme="minorHAnsi" w:cstheme="minorHAnsi"/>
        </w:rPr>
      </w:pPr>
      <w:r w:rsidRPr="00086596">
        <w:rPr>
          <w:rFonts w:asciiTheme="minorHAnsi" w:hAnsiTheme="minorHAnsi" w:cstheme="minorHAnsi"/>
          <w:b/>
        </w:rPr>
        <w:t>Answer:</w:t>
      </w:r>
      <w:r w:rsidRPr="00086596">
        <w:rPr>
          <w:rFonts w:asciiTheme="minorHAnsi" w:hAnsiTheme="minorHAnsi" w:cstheme="minorHAnsi"/>
          <w:b/>
        </w:rPr>
        <w:br/>
      </w:r>
      <w:r w:rsidR="00C0089A">
        <w:rPr>
          <w:rFonts w:asciiTheme="minorHAnsi" w:hAnsiTheme="minorHAnsi" w:cstheme="minorHAnsi"/>
        </w:rPr>
        <w:t>POS</w:t>
      </w:r>
      <w:r w:rsidRPr="00086596">
        <w:rPr>
          <w:rFonts w:asciiTheme="minorHAnsi" w:hAnsiTheme="minorHAnsi" w:cstheme="minorHAnsi"/>
        </w:rPr>
        <w:t xml:space="preserve"> rules are contained in the Social Security Act, not the Impairment Tables </w:t>
      </w:r>
      <w:r w:rsidR="00E52880">
        <w:rPr>
          <w:rFonts w:asciiTheme="minorHAnsi" w:hAnsiTheme="minorHAnsi" w:cstheme="minorHAnsi"/>
        </w:rPr>
        <w:t>l</w:t>
      </w:r>
      <w:r w:rsidRPr="00086596">
        <w:rPr>
          <w:rFonts w:asciiTheme="minorHAnsi" w:hAnsiTheme="minorHAnsi" w:cstheme="minorHAnsi"/>
        </w:rPr>
        <w:t xml:space="preserve">egislative </w:t>
      </w:r>
      <w:r w:rsidR="00E52880">
        <w:rPr>
          <w:rFonts w:asciiTheme="minorHAnsi" w:hAnsiTheme="minorHAnsi" w:cstheme="minorHAnsi"/>
        </w:rPr>
        <w:t>i</w:t>
      </w:r>
      <w:r w:rsidRPr="00086596">
        <w:rPr>
          <w:rFonts w:asciiTheme="minorHAnsi" w:hAnsiTheme="minorHAnsi" w:cstheme="minorHAnsi"/>
        </w:rPr>
        <w:t xml:space="preserve">nstrument. However, it is recognised the </w:t>
      </w:r>
      <w:r w:rsidR="00C0089A">
        <w:rPr>
          <w:rFonts w:asciiTheme="minorHAnsi" w:hAnsiTheme="minorHAnsi" w:cstheme="minorHAnsi"/>
        </w:rPr>
        <w:t>POS</w:t>
      </w:r>
      <w:r w:rsidRPr="00086596">
        <w:rPr>
          <w:rFonts w:asciiTheme="minorHAnsi" w:hAnsiTheme="minorHAnsi" w:cstheme="minorHAnsi"/>
        </w:rPr>
        <w:t xml:space="preserve"> rules interact closely with the Impairment Tables</w:t>
      </w:r>
      <w:r w:rsidR="00C0089A">
        <w:rPr>
          <w:rFonts w:asciiTheme="minorHAnsi" w:hAnsiTheme="minorHAnsi" w:cstheme="minorHAnsi"/>
        </w:rPr>
        <w:t>. If stakeholders provide</w:t>
      </w:r>
      <w:r w:rsidRPr="00086596">
        <w:rPr>
          <w:rFonts w:asciiTheme="minorHAnsi" w:hAnsiTheme="minorHAnsi" w:cstheme="minorHAnsi"/>
        </w:rPr>
        <w:t xml:space="preserve"> any comments/suggestions on </w:t>
      </w:r>
      <w:r w:rsidR="00C0089A">
        <w:rPr>
          <w:rFonts w:asciiTheme="minorHAnsi" w:hAnsiTheme="minorHAnsi" w:cstheme="minorHAnsi"/>
        </w:rPr>
        <w:t>the POS, these</w:t>
      </w:r>
      <w:r w:rsidRPr="00086596">
        <w:rPr>
          <w:rFonts w:asciiTheme="minorHAnsi" w:hAnsiTheme="minorHAnsi" w:cstheme="minorHAnsi"/>
        </w:rPr>
        <w:t xml:space="preserve"> </w:t>
      </w:r>
      <w:r w:rsidR="001A73EA">
        <w:rPr>
          <w:rFonts w:asciiTheme="minorHAnsi" w:hAnsiTheme="minorHAnsi" w:cstheme="minorHAnsi"/>
        </w:rPr>
        <w:t>will be provided to Government for consideration</w:t>
      </w:r>
      <w:r w:rsidRPr="00086596">
        <w:rPr>
          <w:rFonts w:asciiTheme="minorHAnsi" w:hAnsiTheme="minorHAnsi" w:cstheme="minorHAnsi"/>
        </w:rPr>
        <w:t xml:space="preserve">. </w:t>
      </w:r>
      <w:r w:rsidR="00C0089A">
        <w:rPr>
          <w:rFonts w:asciiTheme="minorHAnsi" w:hAnsiTheme="minorHAnsi" w:cstheme="minorHAnsi"/>
        </w:rPr>
        <w:t xml:space="preserve">However, given the need to remake the </w:t>
      </w:r>
      <w:r w:rsidR="00E52880">
        <w:rPr>
          <w:rFonts w:asciiTheme="minorHAnsi" w:hAnsiTheme="minorHAnsi" w:cstheme="minorHAnsi"/>
        </w:rPr>
        <w:t>l</w:t>
      </w:r>
      <w:r w:rsidR="00C0089A">
        <w:rPr>
          <w:rFonts w:asciiTheme="minorHAnsi" w:hAnsiTheme="minorHAnsi" w:cstheme="minorHAnsi"/>
        </w:rPr>
        <w:t xml:space="preserve">egislative </w:t>
      </w:r>
      <w:r w:rsidR="00E52880">
        <w:rPr>
          <w:rFonts w:asciiTheme="minorHAnsi" w:hAnsiTheme="minorHAnsi" w:cstheme="minorHAnsi"/>
        </w:rPr>
        <w:t>i</w:t>
      </w:r>
      <w:r w:rsidR="00C0089A">
        <w:rPr>
          <w:rFonts w:asciiTheme="minorHAnsi" w:hAnsiTheme="minorHAnsi" w:cstheme="minorHAnsi"/>
        </w:rPr>
        <w:t xml:space="preserve">nstrument underpinning the Impairment Tables, changes to the POS will not be made through this process. </w:t>
      </w:r>
    </w:p>
    <w:p w14:paraId="61415D35" w14:textId="77777777" w:rsidR="00EB4C77" w:rsidRPr="00086596" w:rsidRDefault="00EB4C77" w:rsidP="00EF4EEE">
      <w:pPr>
        <w:rPr>
          <w:rFonts w:asciiTheme="minorHAnsi" w:hAnsiTheme="minorHAnsi" w:cstheme="minorHAnsi"/>
        </w:rPr>
      </w:pPr>
      <w:r w:rsidRPr="00086596">
        <w:rPr>
          <w:rFonts w:asciiTheme="minorHAnsi" w:hAnsiTheme="minorHAnsi" w:cstheme="minorHAnsi"/>
        </w:rPr>
        <w:br/>
      </w:r>
      <w:r w:rsidRPr="00086596">
        <w:rPr>
          <w:rFonts w:asciiTheme="minorHAnsi" w:hAnsiTheme="minorHAnsi" w:cstheme="minorHAnsi"/>
          <w:b/>
        </w:rPr>
        <w:t xml:space="preserve">Question: </w:t>
      </w:r>
      <w:r w:rsidRPr="00086596">
        <w:rPr>
          <w:rFonts w:asciiTheme="minorHAnsi" w:hAnsiTheme="minorHAnsi" w:cstheme="minorHAnsi"/>
          <w:b/>
        </w:rPr>
        <w:br/>
      </w:r>
      <w:r w:rsidRPr="00086596">
        <w:rPr>
          <w:rFonts w:asciiTheme="minorHAnsi" w:hAnsiTheme="minorHAnsi" w:cstheme="minorHAnsi"/>
        </w:rPr>
        <w:t xml:space="preserve">Who can participate in the consultation process? </w:t>
      </w:r>
    </w:p>
    <w:p w14:paraId="23A1AC5F" w14:textId="565D7016" w:rsidR="00EB4C77" w:rsidRPr="00086596" w:rsidRDefault="00EB4C77" w:rsidP="00EF4EEE">
      <w:pPr>
        <w:rPr>
          <w:rFonts w:asciiTheme="minorHAnsi" w:hAnsiTheme="minorHAnsi" w:cstheme="minorHAnsi"/>
        </w:rPr>
      </w:pPr>
      <w:r w:rsidRPr="00086596">
        <w:rPr>
          <w:rFonts w:asciiTheme="minorHAnsi" w:hAnsiTheme="minorHAnsi" w:cstheme="minorHAnsi"/>
          <w:b/>
        </w:rPr>
        <w:t xml:space="preserve">Answer: </w:t>
      </w:r>
      <w:r w:rsidRPr="00086596">
        <w:rPr>
          <w:rFonts w:asciiTheme="minorHAnsi" w:hAnsiTheme="minorHAnsi" w:cstheme="minorHAnsi"/>
          <w:b/>
        </w:rPr>
        <w:br/>
      </w:r>
      <w:r w:rsidRPr="00086596">
        <w:rPr>
          <w:rFonts w:asciiTheme="minorHAnsi" w:hAnsiTheme="minorHAnsi" w:cstheme="minorHAnsi"/>
        </w:rPr>
        <w:t xml:space="preserve">Public consultation will </w:t>
      </w:r>
      <w:r w:rsidR="0054728A">
        <w:rPr>
          <w:rFonts w:asciiTheme="minorHAnsi" w:hAnsiTheme="minorHAnsi" w:cstheme="minorHAnsi"/>
        </w:rPr>
        <w:t xml:space="preserve">primarily </w:t>
      </w:r>
      <w:r w:rsidRPr="00086596">
        <w:rPr>
          <w:rFonts w:asciiTheme="minorHAnsi" w:hAnsiTheme="minorHAnsi" w:cstheme="minorHAnsi"/>
        </w:rPr>
        <w:t xml:space="preserve">be conducted through the DSS Engage platform </w:t>
      </w:r>
      <w:r w:rsidR="0054728A">
        <w:rPr>
          <w:rFonts w:asciiTheme="minorHAnsi" w:hAnsiTheme="minorHAnsi" w:cstheme="minorHAnsi"/>
        </w:rPr>
        <w:t xml:space="preserve">which </w:t>
      </w:r>
      <w:r w:rsidRPr="00086596">
        <w:rPr>
          <w:rFonts w:asciiTheme="minorHAnsi" w:hAnsiTheme="minorHAnsi" w:cstheme="minorHAnsi"/>
        </w:rPr>
        <w:t xml:space="preserve">is </w:t>
      </w:r>
      <w:r w:rsidR="0054728A">
        <w:rPr>
          <w:rFonts w:asciiTheme="minorHAnsi" w:hAnsiTheme="minorHAnsi" w:cstheme="minorHAnsi"/>
        </w:rPr>
        <w:t xml:space="preserve">available to anybody. </w:t>
      </w:r>
      <w:r w:rsidR="00310438">
        <w:rPr>
          <w:rFonts w:asciiTheme="minorHAnsi" w:hAnsiTheme="minorHAnsi" w:cstheme="minorHAnsi"/>
        </w:rPr>
        <w:t xml:space="preserve">This issues paper </w:t>
      </w:r>
      <w:r w:rsidR="00113287">
        <w:rPr>
          <w:rFonts w:asciiTheme="minorHAnsi" w:hAnsiTheme="minorHAnsi" w:cstheme="minorHAnsi"/>
        </w:rPr>
        <w:t xml:space="preserve">will </w:t>
      </w:r>
      <w:r w:rsidR="006B7B98">
        <w:rPr>
          <w:rFonts w:asciiTheme="minorHAnsi" w:hAnsiTheme="minorHAnsi" w:cstheme="minorHAnsi"/>
        </w:rPr>
        <w:t xml:space="preserve">also </w:t>
      </w:r>
      <w:r w:rsidR="00113287">
        <w:rPr>
          <w:rFonts w:asciiTheme="minorHAnsi" w:hAnsiTheme="minorHAnsi" w:cstheme="minorHAnsi"/>
        </w:rPr>
        <w:t>be translated i</w:t>
      </w:r>
      <w:r w:rsidR="00FB71C1">
        <w:rPr>
          <w:rFonts w:asciiTheme="minorHAnsi" w:hAnsiTheme="minorHAnsi" w:cstheme="minorHAnsi"/>
        </w:rPr>
        <w:t xml:space="preserve">nto </w:t>
      </w:r>
      <w:proofErr w:type="spellStart"/>
      <w:r w:rsidR="00665892">
        <w:rPr>
          <w:rFonts w:asciiTheme="minorHAnsi" w:hAnsiTheme="minorHAnsi" w:cstheme="minorHAnsi"/>
        </w:rPr>
        <w:t>EasyRead</w:t>
      </w:r>
      <w:proofErr w:type="spellEnd"/>
      <w:r w:rsidR="00665892">
        <w:rPr>
          <w:rFonts w:asciiTheme="minorHAnsi" w:hAnsiTheme="minorHAnsi" w:cstheme="minorHAnsi"/>
        </w:rPr>
        <w:t xml:space="preserve"> format, Auslan and an audio PDF to ensure the review is accessible to a wide range of people with disability. </w:t>
      </w:r>
    </w:p>
    <w:p w14:paraId="0C5E847E" w14:textId="77777777" w:rsidR="00EB4C77" w:rsidRPr="0066743D" w:rsidRDefault="00EB4C77" w:rsidP="00EF4EEE">
      <w:pPr>
        <w:rPr>
          <w:rFonts w:asciiTheme="minorHAnsi" w:hAnsiTheme="minorHAnsi" w:cstheme="minorHAnsi"/>
        </w:rPr>
      </w:pPr>
      <w:r w:rsidRPr="00086596">
        <w:rPr>
          <w:rFonts w:asciiTheme="minorHAnsi" w:hAnsiTheme="minorHAnsi" w:cstheme="minorHAnsi"/>
        </w:rPr>
        <w:br/>
      </w:r>
      <w:r w:rsidRPr="0066743D">
        <w:rPr>
          <w:rFonts w:asciiTheme="minorHAnsi" w:hAnsiTheme="minorHAnsi" w:cstheme="minorHAnsi"/>
          <w:b/>
        </w:rPr>
        <w:t xml:space="preserve">Question: </w:t>
      </w:r>
      <w:r w:rsidRPr="0066743D">
        <w:rPr>
          <w:rFonts w:asciiTheme="minorHAnsi" w:hAnsiTheme="minorHAnsi" w:cstheme="minorHAnsi"/>
          <w:b/>
        </w:rPr>
        <w:br/>
      </w:r>
      <w:r w:rsidR="006A40EA" w:rsidRPr="0066743D">
        <w:rPr>
          <w:rFonts w:asciiTheme="minorHAnsi" w:hAnsiTheme="minorHAnsi" w:cstheme="minorHAnsi"/>
        </w:rPr>
        <w:t xml:space="preserve">Will there be major changes to the Impairment Tables? </w:t>
      </w:r>
    </w:p>
    <w:p w14:paraId="210D904B" w14:textId="00920AAA" w:rsidR="006A40EA" w:rsidRDefault="006A40EA" w:rsidP="00EF4EEE">
      <w:pPr>
        <w:rPr>
          <w:rFonts w:asciiTheme="minorHAnsi" w:hAnsiTheme="minorHAnsi" w:cstheme="minorHAnsi"/>
        </w:rPr>
      </w:pPr>
      <w:r w:rsidRPr="0066743D">
        <w:rPr>
          <w:rFonts w:asciiTheme="minorHAnsi" w:hAnsiTheme="minorHAnsi" w:cstheme="minorHAnsi"/>
          <w:b/>
        </w:rPr>
        <w:t xml:space="preserve">Answer: </w:t>
      </w:r>
      <w:r w:rsidRPr="0066743D">
        <w:rPr>
          <w:rFonts w:asciiTheme="minorHAnsi" w:hAnsiTheme="minorHAnsi" w:cstheme="minorHAnsi"/>
          <w:b/>
        </w:rPr>
        <w:br/>
      </w:r>
      <w:r w:rsidRPr="0066743D">
        <w:rPr>
          <w:rFonts w:asciiTheme="minorHAnsi" w:hAnsiTheme="minorHAnsi" w:cstheme="minorHAnsi"/>
        </w:rPr>
        <w:t xml:space="preserve">The </w:t>
      </w:r>
      <w:r w:rsidR="00261770">
        <w:rPr>
          <w:rFonts w:asciiTheme="minorHAnsi" w:hAnsiTheme="minorHAnsi" w:cstheme="minorHAnsi"/>
        </w:rPr>
        <w:t xml:space="preserve">Impairment </w:t>
      </w:r>
      <w:r w:rsidRPr="0066743D">
        <w:rPr>
          <w:rFonts w:asciiTheme="minorHAnsi" w:hAnsiTheme="minorHAnsi" w:cstheme="minorHAnsi"/>
        </w:rPr>
        <w:t xml:space="preserve">Tables underwent a </w:t>
      </w:r>
      <w:r w:rsidR="0054728A" w:rsidRPr="0066743D">
        <w:rPr>
          <w:rFonts w:asciiTheme="minorHAnsi" w:hAnsiTheme="minorHAnsi" w:cstheme="minorHAnsi"/>
        </w:rPr>
        <w:t xml:space="preserve">significant remaking </w:t>
      </w:r>
      <w:r w:rsidRPr="0066743D">
        <w:rPr>
          <w:rFonts w:asciiTheme="minorHAnsi" w:hAnsiTheme="minorHAnsi" w:cstheme="minorHAnsi"/>
        </w:rPr>
        <w:t>in 2011</w:t>
      </w:r>
      <w:r w:rsidR="0054728A" w:rsidRPr="0066743D">
        <w:rPr>
          <w:rFonts w:asciiTheme="minorHAnsi" w:hAnsiTheme="minorHAnsi" w:cstheme="minorHAnsi"/>
        </w:rPr>
        <w:t>.</w:t>
      </w:r>
      <w:r w:rsidRPr="0066743D">
        <w:rPr>
          <w:rFonts w:asciiTheme="minorHAnsi" w:hAnsiTheme="minorHAnsi" w:cstheme="minorHAnsi"/>
        </w:rPr>
        <w:t xml:space="preserve"> </w:t>
      </w:r>
      <w:r w:rsidR="00480DCB">
        <w:rPr>
          <w:rFonts w:asciiTheme="minorHAnsi" w:hAnsiTheme="minorHAnsi" w:cstheme="minorHAnsi"/>
        </w:rPr>
        <w:t xml:space="preserve">As the current </w:t>
      </w:r>
      <w:r w:rsidR="00907447">
        <w:rPr>
          <w:rFonts w:asciiTheme="minorHAnsi" w:hAnsiTheme="minorHAnsi" w:cstheme="minorHAnsi"/>
        </w:rPr>
        <w:t xml:space="preserve">Impairment </w:t>
      </w:r>
      <w:r w:rsidR="00480DCB">
        <w:rPr>
          <w:rFonts w:asciiTheme="minorHAnsi" w:hAnsiTheme="minorHAnsi" w:cstheme="minorHAnsi"/>
        </w:rPr>
        <w:t xml:space="preserve">Tables are the result of an extensive process, </w:t>
      </w:r>
      <w:r w:rsidR="00E710C0">
        <w:rPr>
          <w:rFonts w:asciiTheme="minorHAnsi" w:hAnsiTheme="minorHAnsi" w:cstheme="minorHAnsi"/>
        </w:rPr>
        <w:t xml:space="preserve">and appear to be working as expected, </w:t>
      </w:r>
      <w:r w:rsidR="00480DCB">
        <w:rPr>
          <w:rFonts w:asciiTheme="minorHAnsi" w:hAnsiTheme="minorHAnsi" w:cstheme="minorHAnsi"/>
        </w:rPr>
        <w:t>t</w:t>
      </w:r>
      <w:r w:rsidR="00480DCB" w:rsidRPr="00086596">
        <w:rPr>
          <w:rFonts w:asciiTheme="minorHAnsi" w:hAnsiTheme="minorHAnsi" w:cstheme="minorHAnsi"/>
        </w:rPr>
        <w:t>his review will focus on the functioning of the current Impairment Tables</w:t>
      </w:r>
      <w:r w:rsidR="004E014A" w:rsidRPr="0066743D">
        <w:rPr>
          <w:rFonts w:asciiTheme="minorHAnsi" w:hAnsiTheme="minorHAnsi" w:cstheme="minorHAnsi"/>
        </w:rPr>
        <w:t xml:space="preserve">, in particular, consistency and medical </w:t>
      </w:r>
      <w:r w:rsidR="0066743D" w:rsidRPr="0066743D">
        <w:rPr>
          <w:rFonts w:asciiTheme="minorHAnsi" w:hAnsiTheme="minorHAnsi" w:cstheme="minorHAnsi"/>
        </w:rPr>
        <w:t>technology and assessment tools</w:t>
      </w:r>
      <w:r w:rsidR="004E014A" w:rsidRPr="0066743D">
        <w:rPr>
          <w:rFonts w:asciiTheme="minorHAnsi" w:hAnsiTheme="minorHAnsi" w:cstheme="minorHAnsi"/>
        </w:rPr>
        <w:t>.</w:t>
      </w:r>
      <w:r w:rsidR="0066743D" w:rsidRPr="0066743D">
        <w:rPr>
          <w:rFonts w:asciiTheme="minorHAnsi" w:hAnsiTheme="minorHAnsi" w:cstheme="minorHAnsi"/>
        </w:rPr>
        <w:t xml:space="preserve"> As a result, this review will be a smaller undertaking and major changes will not be made this time around.</w:t>
      </w:r>
      <w:r w:rsidR="0066743D">
        <w:rPr>
          <w:rFonts w:asciiTheme="minorHAnsi" w:hAnsiTheme="minorHAnsi" w:cstheme="minorHAnsi"/>
        </w:rPr>
        <w:t xml:space="preserve"> </w:t>
      </w:r>
    </w:p>
    <w:p w14:paraId="71A71406" w14:textId="3526C0DE" w:rsidR="00480DCB" w:rsidRDefault="00480DCB" w:rsidP="00EF4EEE">
      <w:pPr>
        <w:rPr>
          <w:rFonts w:asciiTheme="minorHAnsi" w:hAnsiTheme="minorHAnsi" w:cstheme="minorHAnsi"/>
        </w:rPr>
      </w:pPr>
    </w:p>
    <w:p w14:paraId="206561C4" w14:textId="77A1F33F" w:rsidR="006A40EA" w:rsidRPr="009B179D" w:rsidRDefault="006A40EA" w:rsidP="00EF4EEE">
      <w:pPr>
        <w:rPr>
          <w:rFonts w:asciiTheme="minorHAnsi" w:hAnsiTheme="minorHAnsi" w:cstheme="minorHAnsi"/>
          <w:highlight w:val="yellow"/>
        </w:rPr>
      </w:pPr>
      <w:r w:rsidRPr="00086596">
        <w:rPr>
          <w:rFonts w:asciiTheme="minorHAnsi" w:hAnsiTheme="minorHAnsi" w:cstheme="minorHAnsi"/>
          <w:b/>
        </w:rPr>
        <w:t xml:space="preserve">Question: </w:t>
      </w:r>
      <w:r w:rsidRPr="00086596">
        <w:rPr>
          <w:rFonts w:asciiTheme="minorHAnsi" w:hAnsiTheme="minorHAnsi" w:cstheme="minorHAnsi"/>
          <w:b/>
        </w:rPr>
        <w:br/>
      </w:r>
      <w:r w:rsidRPr="0066743D">
        <w:rPr>
          <w:rFonts w:asciiTheme="minorHAnsi" w:hAnsiTheme="minorHAnsi" w:cstheme="minorHAnsi"/>
        </w:rPr>
        <w:t xml:space="preserve">Will there be an Advisory Committee or Group formed for this review? </w:t>
      </w:r>
    </w:p>
    <w:p w14:paraId="6C6471D8" w14:textId="5386EEC3" w:rsidR="006A40EA" w:rsidRPr="00086596" w:rsidRDefault="006A40EA" w:rsidP="00EF4EEE">
      <w:pPr>
        <w:rPr>
          <w:rFonts w:asciiTheme="minorHAnsi" w:hAnsiTheme="minorHAnsi" w:cstheme="minorHAnsi"/>
        </w:rPr>
      </w:pPr>
      <w:r w:rsidRPr="006B4666">
        <w:rPr>
          <w:rFonts w:asciiTheme="minorHAnsi" w:hAnsiTheme="minorHAnsi" w:cstheme="minorHAnsi"/>
          <w:b/>
        </w:rPr>
        <w:t>Answer:</w:t>
      </w:r>
      <w:r w:rsidRPr="0066743D">
        <w:rPr>
          <w:rFonts w:asciiTheme="minorHAnsi" w:hAnsiTheme="minorHAnsi" w:cstheme="minorHAnsi"/>
          <w:b/>
        </w:rPr>
        <w:t xml:space="preserve"> </w:t>
      </w:r>
      <w:r w:rsidRPr="0066743D">
        <w:rPr>
          <w:rFonts w:asciiTheme="minorHAnsi" w:hAnsiTheme="minorHAnsi" w:cstheme="minorHAnsi"/>
          <w:b/>
        </w:rPr>
        <w:br/>
      </w:r>
      <w:r w:rsidR="0066743D" w:rsidRPr="0066743D">
        <w:rPr>
          <w:rFonts w:asciiTheme="minorHAnsi" w:hAnsiTheme="minorHAnsi" w:cstheme="minorHAnsi"/>
        </w:rPr>
        <w:t xml:space="preserve">An Advisory Committee will not be used for this review. This is due </w:t>
      </w:r>
      <w:r w:rsidR="00563F02">
        <w:rPr>
          <w:rFonts w:asciiTheme="minorHAnsi" w:hAnsiTheme="minorHAnsi" w:cstheme="minorHAnsi"/>
        </w:rPr>
        <w:t xml:space="preserve">to the </w:t>
      </w:r>
      <w:r w:rsidR="0066743D" w:rsidRPr="0066743D">
        <w:rPr>
          <w:rFonts w:asciiTheme="minorHAnsi" w:hAnsiTheme="minorHAnsi" w:cstheme="minorHAnsi"/>
        </w:rPr>
        <w:t xml:space="preserve">nature of the review and an Advisory Committee is not required for a review of this size. The method of stakeholder consultation to be used for the review will be </w:t>
      </w:r>
      <w:r w:rsidRPr="0066743D">
        <w:rPr>
          <w:rFonts w:asciiTheme="minorHAnsi" w:hAnsiTheme="minorHAnsi" w:cstheme="minorHAnsi"/>
        </w:rPr>
        <w:t>the Engage website</w:t>
      </w:r>
      <w:r w:rsidR="0066743D" w:rsidRPr="0066743D">
        <w:rPr>
          <w:rFonts w:asciiTheme="minorHAnsi" w:hAnsiTheme="minorHAnsi" w:cstheme="minorHAnsi"/>
        </w:rPr>
        <w:t xml:space="preserve">, and the </w:t>
      </w:r>
      <w:r w:rsidR="00907447">
        <w:rPr>
          <w:rFonts w:asciiTheme="minorHAnsi" w:hAnsiTheme="minorHAnsi" w:cstheme="minorHAnsi"/>
        </w:rPr>
        <w:t>D</w:t>
      </w:r>
      <w:r w:rsidR="0066743D" w:rsidRPr="0066743D">
        <w:rPr>
          <w:rFonts w:asciiTheme="minorHAnsi" w:hAnsiTheme="minorHAnsi" w:cstheme="minorHAnsi"/>
        </w:rPr>
        <w:t xml:space="preserve">epartment </w:t>
      </w:r>
      <w:r w:rsidR="00907447">
        <w:rPr>
          <w:rFonts w:asciiTheme="minorHAnsi" w:hAnsiTheme="minorHAnsi" w:cstheme="minorHAnsi"/>
        </w:rPr>
        <w:t xml:space="preserve">of Social Services </w:t>
      </w:r>
      <w:r w:rsidR="0066743D" w:rsidRPr="0066743D">
        <w:rPr>
          <w:rFonts w:asciiTheme="minorHAnsi" w:hAnsiTheme="minorHAnsi" w:cstheme="minorHAnsi"/>
        </w:rPr>
        <w:t xml:space="preserve">will consult with medical professionals in the drafting of the new </w:t>
      </w:r>
      <w:r w:rsidR="00907447">
        <w:rPr>
          <w:rFonts w:asciiTheme="minorHAnsi" w:hAnsiTheme="minorHAnsi" w:cstheme="minorHAnsi"/>
        </w:rPr>
        <w:t xml:space="preserve">Impairment </w:t>
      </w:r>
      <w:r w:rsidR="0066743D" w:rsidRPr="0066743D">
        <w:rPr>
          <w:rFonts w:asciiTheme="minorHAnsi" w:hAnsiTheme="minorHAnsi" w:cstheme="minorHAnsi"/>
        </w:rPr>
        <w:t>Tables to ensure medical terminology and examples used are appropriate</w:t>
      </w:r>
      <w:r w:rsidRPr="0066743D">
        <w:rPr>
          <w:rFonts w:asciiTheme="minorHAnsi" w:hAnsiTheme="minorHAnsi" w:cstheme="minorHAnsi"/>
        </w:rPr>
        <w:t>.</w:t>
      </w:r>
    </w:p>
    <w:p w14:paraId="64705CE9" w14:textId="77777777" w:rsidR="006A40EA" w:rsidRPr="00086596" w:rsidRDefault="006A40EA" w:rsidP="00EF4EEE">
      <w:pPr>
        <w:rPr>
          <w:rFonts w:asciiTheme="minorHAnsi" w:hAnsiTheme="minorHAnsi" w:cstheme="minorHAnsi"/>
        </w:rPr>
      </w:pPr>
      <w:r w:rsidRPr="00086596">
        <w:rPr>
          <w:rFonts w:asciiTheme="minorHAnsi" w:hAnsiTheme="minorHAnsi" w:cstheme="minorHAnsi"/>
        </w:rPr>
        <w:br/>
      </w:r>
      <w:r w:rsidRPr="00086596">
        <w:rPr>
          <w:rFonts w:asciiTheme="minorHAnsi" w:hAnsiTheme="minorHAnsi" w:cstheme="minorHAnsi"/>
          <w:b/>
        </w:rPr>
        <w:t xml:space="preserve">Question: </w:t>
      </w:r>
      <w:r w:rsidRPr="00086596">
        <w:rPr>
          <w:rFonts w:asciiTheme="minorHAnsi" w:hAnsiTheme="minorHAnsi" w:cstheme="minorHAnsi"/>
          <w:b/>
        </w:rPr>
        <w:br/>
      </w:r>
      <w:r w:rsidRPr="00086596">
        <w:rPr>
          <w:rFonts w:asciiTheme="minorHAnsi" w:hAnsiTheme="minorHAnsi" w:cstheme="minorHAnsi"/>
        </w:rPr>
        <w:t xml:space="preserve">How long will the consultation process take? </w:t>
      </w:r>
    </w:p>
    <w:p w14:paraId="45A930C9" w14:textId="7DBFB9B7" w:rsidR="006A40EA" w:rsidRPr="00086596" w:rsidRDefault="006A40EA" w:rsidP="00EF4EEE">
      <w:pPr>
        <w:rPr>
          <w:rFonts w:asciiTheme="minorHAnsi" w:hAnsiTheme="minorHAnsi" w:cstheme="minorHAnsi"/>
        </w:rPr>
      </w:pPr>
      <w:r w:rsidRPr="00086596">
        <w:rPr>
          <w:rFonts w:asciiTheme="minorHAnsi" w:hAnsiTheme="minorHAnsi" w:cstheme="minorHAnsi"/>
          <w:b/>
        </w:rPr>
        <w:t>Answer:</w:t>
      </w:r>
      <w:r w:rsidRPr="00086596">
        <w:rPr>
          <w:rFonts w:asciiTheme="minorHAnsi" w:hAnsiTheme="minorHAnsi" w:cstheme="minorHAnsi"/>
          <w:b/>
        </w:rPr>
        <w:br/>
      </w:r>
      <w:r w:rsidRPr="00086596">
        <w:rPr>
          <w:rFonts w:asciiTheme="minorHAnsi" w:hAnsiTheme="minorHAnsi" w:cstheme="minorHAnsi"/>
        </w:rPr>
        <w:t xml:space="preserve">The Engage consultation platform will be open for </w:t>
      </w:r>
      <w:r w:rsidR="007E3A5D">
        <w:rPr>
          <w:rFonts w:asciiTheme="minorHAnsi" w:hAnsiTheme="minorHAnsi" w:cstheme="minorHAnsi"/>
        </w:rPr>
        <w:t xml:space="preserve">a </w:t>
      </w:r>
      <w:r w:rsidR="00AE6F95">
        <w:rPr>
          <w:rFonts w:asciiTheme="minorHAnsi" w:hAnsiTheme="minorHAnsi" w:cstheme="minorHAnsi"/>
        </w:rPr>
        <w:t>two month</w:t>
      </w:r>
      <w:r w:rsidRPr="00086596">
        <w:rPr>
          <w:rFonts w:asciiTheme="minorHAnsi" w:hAnsiTheme="minorHAnsi" w:cstheme="minorHAnsi"/>
        </w:rPr>
        <w:t xml:space="preserve"> period, from</w:t>
      </w:r>
      <w:r w:rsidR="002900C0" w:rsidRPr="00086596">
        <w:rPr>
          <w:rFonts w:asciiTheme="minorHAnsi" w:hAnsiTheme="minorHAnsi" w:cstheme="minorHAnsi"/>
        </w:rPr>
        <w:t xml:space="preserve"> </w:t>
      </w:r>
      <w:r w:rsidR="00AE6F95">
        <w:rPr>
          <w:rFonts w:asciiTheme="minorHAnsi" w:hAnsiTheme="minorHAnsi" w:cstheme="minorHAnsi"/>
        </w:rPr>
        <w:t>1</w:t>
      </w:r>
      <w:r w:rsidR="00E52880">
        <w:rPr>
          <w:rFonts w:asciiTheme="minorHAnsi" w:hAnsiTheme="minorHAnsi" w:cstheme="minorHAnsi"/>
        </w:rPr>
        <w:t> </w:t>
      </w:r>
      <w:r w:rsidR="00AE6F95">
        <w:rPr>
          <w:rFonts w:asciiTheme="minorHAnsi" w:hAnsiTheme="minorHAnsi" w:cstheme="minorHAnsi"/>
        </w:rPr>
        <w:t>June</w:t>
      </w:r>
      <w:r w:rsidR="00E52880">
        <w:rPr>
          <w:rFonts w:asciiTheme="minorHAnsi" w:hAnsiTheme="minorHAnsi" w:cstheme="minorHAnsi"/>
        </w:rPr>
        <w:t> </w:t>
      </w:r>
      <w:r w:rsidRPr="00EB20D2">
        <w:rPr>
          <w:rFonts w:asciiTheme="minorHAnsi" w:hAnsiTheme="minorHAnsi" w:cstheme="minorHAnsi"/>
        </w:rPr>
        <w:t>2021, until the end of Ju</w:t>
      </w:r>
      <w:r w:rsidR="00D74A3A">
        <w:rPr>
          <w:rFonts w:asciiTheme="minorHAnsi" w:hAnsiTheme="minorHAnsi" w:cstheme="minorHAnsi"/>
        </w:rPr>
        <w:t>ly</w:t>
      </w:r>
      <w:r w:rsidRPr="00EB20D2">
        <w:rPr>
          <w:rFonts w:asciiTheme="minorHAnsi" w:hAnsiTheme="minorHAnsi" w:cstheme="minorHAnsi"/>
        </w:rPr>
        <w:t xml:space="preserve"> 2021.</w:t>
      </w:r>
      <w:r w:rsidRPr="00086596">
        <w:rPr>
          <w:rFonts w:asciiTheme="minorHAnsi" w:hAnsiTheme="minorHAnsi" w:cstheme="minorHAnsi"/>
        </w:rPr>
        <w:t xml:space="preserve"> A second round of consultation is anticipated to occur once a revised version of the Impairment Tables ha</w:t>
      </w:r>
      <w:r w:rsidR="00AE6F95">
        <w:rPr>
          <w:rFonts w:asciiTheme="minorHAnsi" w:hAnsiTheme="minorHAnsi" w:cstheme="minorHAnsi"/>
        </w:rPr>
        <w:t>s</w:t>
      </w:r>
      <w:r w:rsidRPr="00086596">
        <w:rPr>
          <w:rFonts w:asciiTheme="minorHAnsi" w:hAnsiTheme="minorHAnsi" w:cstheme="minorHAnsi"/>
        </w:rPr>
        <w:t xml:space="preserve"> been drafted. </w:t>
      </w:r>
    </w:p>
    <w:p w14:paraId="06C15635" w14:textId="77777777" w:rsidR="006A40EA" w:rsidRPr="006A40EA" w:rsidRDefault="006A40EA" w:rsidP="00EF4EEE">
      <w:pPr>
        <w:rPr>
          <w:rFonts w:ascii="Calibri" w:hAnsi="Calibri" w:cs="Calibri"/>
        </w:rPr>
      </w:pPr>
    </w:p>
    <w:p w14:paraId="4214D1CC" w14:textId="77777777" w:rsidR="006A40EA" w:rsidRDefault="006A40EA" w:rsidP="006A40EA">
      <w:pPr>
        <w:pStyle w:val="Heading1"/>
      </w:pPr>
      <w:bookmarkStart w:id="12" w:name="_Toc73104283"/>
      <w:r>
        <w:t>How to contribute to the consultation process</w:t>
      </w:r>
      <w:bookmarkEnd w:id="12"/>
    </w:p>
    <w:p w14:paraId="33C14ED6" w14:textId="1A249C06" w:rsidR="006A40EA" w:rsidRPr="00086596" w:rsidRDefault="006A40EA" w:rsidP="006A40EA">
      <w:pPr>
        <w:rPr>
          <w:rFonts w:asciiTheme="minorHAnsi" w:hAnsiTheme="minorHAnsi" w:cstheme="minorHAnsi"/>
        </w:rPr>
      </w:pPr>
      <w:r w:rsidRPr="00086596">
        <w:rPr>
          <w:rFonts w:asciiTheme="minorHAnsi" w:hAnsiTheme="minorHAnsi" w:cstheme="minorHAnsi"/>
        </w:rPr>
        <w:t xml:space="preserve">You can </w:t>
      </w:r>
      <w:r w:rsidR="000F1B6F">
        <w:rPr>
          <w:rFonts w:asciiTheme="minorHAnsi" w:hAnsiTheme="minorHAnsi" w:cstheme="minorHAnsi"/>
        </w:rPr>
        <w:t xml:space="preserve">have your say on </w:t>
      </w:r>
      <w:r w:rsidRPr="00086596">
        <w:rPr>
          <w:rFonts w:asciiTheme="minorHAnsi" w:hAnsiTheme="minorHAnsi" w:cstheme="minorHAnsi"/>
        </w:rPr>
        <w:t xml:space="preserve">the Impairment Tables </w:t>
      </w:r>
      <w:r w:rsidR="00FF3631">
        <w:rPr>
          <w:rFonts w:asciiTheme="minorHAnsi" w:hAnsiTheme="minorHAnsi" w:cstheme="minorHAnsi"/>
        </w:rPr>
        <w:t>through</w:t>
      </w:r>
      <w:r w:rsidR="00FF3631" w:rsidRPr="00086596">
        <w:rPr>
          <w:rFonts w:asciiTheme="minorHAnsi" w:hAnsiTheme="minorHAnsi" w:cstheme="minorHAnsi"/>
        </w:rPr>
        <w:t xml:space="preserve"> </w:t>
      </w:r>
      <w:r w:rsidRPr="00086596">
        <w:rPr>
          <w:rFonts w:asciiTheme="minorHAnsi" w:hAnsiTheme="minorHAnsi" w:cstheme="minorHAnsi"/>
        </w:rPr>
        <w:t xml:space="preserve">any of the </w:t>
      </w:r>
      <w:r w:rsidR="000F1B6F">
        <w:rPr>
          <w:rFonts w:asciiTheme="minorHAnsi" w:hAnsiTheme="minorHAnsi" w:cstheme="minorHAnsi"/>
        </w:rPr>
        <w:t>following:</w:t>
      </w:r>
      <w:r w:rsidRPr="00086596">
        <w:rPr>
          <w:rFonts w:asciiTheme="minorHAnsi" w:hAnsiTheme="minorHAnsi" w:cstheme="minorHAnsi"/>
        </w:rPr>
        <w:t xml:space="preserve"> </w:t>
      </w:r>
    </w:p>
    <w:p w14:paraId="19FA2569" w14:textId="77777777" w:rsidR="006A40EA" w:rsidRPr="00086596" w:rsidRDefault="006A40EA" w:rsidP="006A40EA">
      <w:pPr>
        <w:pStyle w:val="ListParagraph"/>
        <w:numPr>
          <w:ilvl w:val="0"/>
          <w:numId w:val="5"/>
        </w:numPr>
        <w:rPr>
          <w:rFonts w:asciiTheme="minorHAnsi" w:hAnsiTheme="minorHAnsi" w:cstheme="minorHAnsi"/>
        </w:rPr>
      </w:pPr>
      <w:r w:rsidRPr="00086596">
        <w:rPr>
          <w:rFonts w:asciiTheme="minorHAnsi" w:hAnsiTheme="minorHAnsi" w:cstheme="minorHAnsi"/>
        </w:rPr>
        <w:t>Complete the online guided questionnaire on the dedicated Impairment Tables consultation page on the DSS Engage website (</w:t>
      </w:r>
      <w:hyperlink r:id="rId17" w:history="1">
        <w:r w:rsidRPr="00086596">
          <w:rPr>
            <w:rStyle w:val="Hyperlink"/>
            <w:rFonts w:asciiTheme="minorHAnsi" w:hAnsiTheme="minorHAnsi" w:cstheme="minorHAnsi"/>
            <w:sz w:val="24"/>
          </w:rPr>
          <w:t>www.engage.dss.gov.au</w:t>
        </w:r>
      </w:hyperlink>
      <w:r w:rsidRPr="00086596">
        <w:rPr>
          <w:rFonts w:asciiTheme="minorHAnsi" w:hAnsiTheme="minorHAnsi" w:cstheme="minorHAnsi"/>
        </w:rPr>
        <w:t>) or</w:t>
      </w:r>
    </w:p>
    <w:p w14:paraId="2C79F36E" w14:textId="77777777" w:rsidR="006A40EA" w:rsidRPr="00086596" w:rsidRDefault="006A40EA" w:rsidP="006A40EA">
      <w:pPr>
        <w:pStyle w:val="ListParagraph"/>
        <w:numPr>
          <w:ilvl w:val="0"/>
          <w:numId w:val="5"/>
        </w:numPr>
        <w:rPr>
          <w:rFonts w:asciiTheme="minorHAnsi" w:hAnsiTheme="minorHAnsi" w:cstheme="minorHAnsi"/>
        </w:rPr>
      </w:pPr>
      <w:r w:rsidRPr="00086596">
        <w:rPr>
          <w:rFonts w:asciiTheme="minorHAnsi" w:hAnsiTheme="minorHAnsi" w:cstheme="minorHAnsi"/>
        </w:rPr>
        <w:t xml:space="preserve">Email a written submission to: </w:t>
      </w:r>
      <w:hyperlink r:id="rId18" w:history="1">
        <w:r w:rsidRPr="00086596">
          <w:rPr>
            <w:rStyle w:val="Hyperlink"/>
            <w:rFonts w:asciiTheme="minorHAnsi" w:hAnsiTheme="minorHAnsi" w:cstheme="minorHAnsi"/>
            <w:sz w:val="24"/>
          </w:rPr>
          <w:t>DisabilityandCarerPayments@dss.gov.au</w:t>
        </w:r>
      </w:hyperlink>
      <w:r w:rsidRPr="00086596">
        <w:rPr>
          <w:rFonts w:asciiTheme="minorHAnsi" w:hAnsiTheme="minorHAnsi" w:cstheme="minorHAnsi"/>
        </w:rPr>
        <w:t xml:space="preserve"> or</w:t>
      </w:r>
    </w:p>
    <w:p w14:paraId="5D7C84F9" w14:textId="77777777" w:rsidR="006A40EA" w:rsidRPr="00086596" w:rsidRDefault="006A40EA" w:rsidP="006A40EA">
      <w:pPr>
        <w:pStyle w:val="ListParagraph"/>
        <w:numPr>
          <w:ilvl w:val="0"/>
          <w:numId w:val="5"/>
        </w:numPr>
        <w:rPr>
          <w:rFonts w:asciiTheme="minorHAnsi" w:hAnsiTheme="minorHAnsi" w:cstheme="minorHAnsi"/>
        </w:rPr>
      </w:pPr>
      <w:r w:rsidRPr="00086596">
        <w:rPr>
          <w:rFonts w:asciiTheme="minorHAnsi" w:hAnsiTheme="minorHAnsi" w:cstheme="minorHAnsi"/>
        </w:rPr>
        <w:t xml:space="preserve">Post a written submission to: </w:t>
      </w:r>
    </w:p>
    <w:p w14:paraId="0D061F46" w14:textId="77777777" w:rsidR="006A40EA" w:rsidRPr="00086596" w:rsidRDefault="006A40EA" w:rsidP="006A40EA">
      <w:pPr>
        <w:pStyle w:val="ListParagraph"/>
        <w:rPr>
          <w:rFonts w:asciiTheme="minorHAnsi" w:hAnsiTheme="minorHAnsi" w:cstheme="minorHAnsi"/>
        </w:rPr>
      </w:pPr>
      <w:r w:rsidRPr="00086596">
        <w:rPr>
          <w:rFonts w:asciiTheme="minorHAnsi" w:hAnsiTheme="minorHAnsi" w:cstheme="minorHAnsi"/>
        </w:rPr>
        <w:t>Disability Support Pension Projects Section</w:t>
      </w:r>
    </w:p>
    <w:p w14:paraId="3EEA799A" w14:textId="77777777" w:rsidR="006A40EA" w:rsidRPr="00086596" w:rsidRDefault="006A40EA" w:rsidP="006A40EA">
      <w:pPr>
        <w:pStyle w:val="ListParagraph"/>
        <w:rPr>
          <w:rFonts w:asciiTheme="minorHAnsi" w:hAnsiTheme="minorHAnsi" w:cstheme="minorHAnsi"/>
        </w:rPr>
      </w:pPr>
      <w:r w:rsidRPr="00086596">
        <w:rPr>
          <w:rFonts w:asciiTheme="minorHAnsi" w:hAnsiTheme="minorHAnsi" w:cstheme="minorHAnsi"/>
        </w:rPr>
        <w:t>Carer and Disability Payments Branch</w:t>
      </w:r>
    </w:p>
    <w:p w14:paraId="4447D320" w14:textId="77777777" w:rsidR="006A40EA" w:rsidRPr="00086596" w:rsidRDefault="006A40EA" w:rsidP="006A40EA">
      <w:pPr>
        <w:pStyle w:val="ListParagraph"/>
        <w:rPr>
          <w:rFonts w:asciiTheme="minorHAnsi" w:hAnsiTheme="minorHAnsi" w:cstheme="minorHAnsi"/>
        </w:rPr>
      </w:pPr>
      <w:r w:rsidRPr="00086596">
        <w:rPr>
          <w:rFonts w:asciiTheme="minorHAnsi" w:hAnsiTheme="minorHAnsi" w:cstheme="minorHAnsi"/>
        </w:rPr>
        <w:t>Department of Social Services</w:t>
      </w:r>
    </w:p>
    <w:p w14:paraId="127B45B9" w14:textId="77777777" w:rsidR="006A40EA" w:rsidRPr="00086596" w:rsidRDefault="006A40EA" w:rsidP="006A40EA">
      <w:pPr>
        <w:pStyle w:val="ListParagraph"/>
        <w:rPr>
          <w:rFonts w:asciiTheme="minorHAnsi" w:hAnsiTheme="minorHAnsi" w:cstheme="minorHAnsi"/>
        </w:rPr>
      </w:pPr>
      <w:r w:rsidRPr="00086596">
        <w:rPr>
          <w:rFonts w:asciiTheme="minorHAnsi" w:hAnsiTheme="minorHAnsi" w:cstheme="minorHAnsi"/>
        </w:rPr>
        <w:t>GPO Box 9820</w:t>
      </w:r>
    </w:p>
    <w:p w14:paraId="1E2E8E8B" w14:textId="77777777" w:rsidR="006A40EA" w:rsidRPr="00086596" w:rsidRDefault="006A40EA" w:rsidP="006A40EA">
      <w:pPr>
        <w:pStyle w:val="ListParagraph"/>
        <w:rPr>
          <w:rFonts w:asciiTheme="minorHAnsi" w:hAnsiTheme="minorHAnsi" w:cstheme="minorHAnsi"/>
        </w:rPr>
      </w:pPr>
      <w:r w:rsidRPr="00086596">
        <w:rPr>
          <w:rFonts w:asciiTheme="minorHAnsi" w:hAnsiTheme="minorHAnsi" w:cstheme="minorHAnsi"/>
        </w:rPr>
        <w:t>Canberra, ACT 2601</w:t>
      </w:r>
    </w:p>
    <w:p w14:paraId="7B1F3725" w14:textId="77777777" w:rsidR="00EF4EEE" w:rsidRPr="00EF4EEE" w:rsidRDefault="00EF4EEE" w:rsidP="00EF4EEE">
      <w:pPr>
        <w:rPr>
          <w:rFonts w:ascii="Calibri" w:hAnsi="Calibri" w:cs="Calibri"/>
        </w:rPr>
      </w:pPr>
    </w:p>
    <w:sectPr w:rsidR="00EF4EEE" w:rsidRPr="00EF4EEE" w:rsidSect="00EC0A86">
      <w:headerReference w:type="default" r:id="rId19"/>
      <w:headerReference w:type="first" r:id="rId20"/>
      <w:footerReference w:type="first" r:id="rId21"/>
      <w:pgSz w:w="11906" w:h="16838"/>
      <w:pgMar w:top="1134" w:right="1134" w:bottom="1134" w:left="1134" w:header="851" w:footer="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730EB" w14:textId="77777777" w:rsidR="0057612D" w:rsidRDefault="0057612D" w:rsidP="008F3023">
      <w:pPr>
        <w:spacing w:before="0" w:after="0" w:line="240" w:lineRule="auto"/>
      </w:pPr>
      <w:r>
        <w:separator/>
      </w:r>
    </w:p>
  </w:endnote>
  <w:endnote w:type="continuationSeparator" w:id="0">
    <w:p w14:paraId="08681DA2" w14:textId="77777777" w:rsidR="0057612D" w:rsidRDefault="0057612D"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TZhongsong">
    <w:altName w:val="Malgun Gothic Semilight"/>
    <w:charset w:val="86"/>
    <w:family w:val="auto"/>
    <w:pitch w:val="variable"/>
    <w:sig w:usb0="00000000"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F5944" w14:textId="77777777" w:rsidR="0074716B" w:rsidRDefault="007471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844914"/>
      <w:docPartObj>
        <w:docPartGallery w:val="Page Numbers (Bottom of Page)"/>
        <w:docPartUnique/>
      </w:docPartObj>
    </w:sdtPr>
    <w:sdtEndPr>
      <w:rPr>
        <w:noProof/>
      </w:rPr>
    </w:sdtEndPr>
    <w:sdtContent>
      <w:p w14:paraId="27E39444" w14:textId="6A191861" w:rsidR="009156C1" w:rsidRDefault="009156C1" w:rsidP="00D86E50">
        <w:pPr>
          <w:pStyle w:val="Footer"/>
          <w:jc w:val="center"/>
        </w:pPr>
        <w:r>
          <w:fldChar w:fldCharType="begin"/>
        </w:r>
        <w:r>
          <w:instrText xml:space="preserve"> PAGE   \* MERGEFORMAT </w:instrText>
        </w:r>
        <w:r>
          <w:fldChar w:fldCharType="separate"/>
        </w:r>
        <w:r w:rsidR="00555EE7">
          <w:rPr>
            <w:noProof/>
          </w:rPr>
          <w:t>14</w:t>
        </w:r>
        <w:r>
          <w:rPr>
            <w:noProof/>
          </w:rPr>
          <w:fldChar w:fldCharType="end"/>
        </w:r>
      </w:p>
    </w:sdtContent>
  </w:sdt>
  <w:p w14:paraId="60BBAE79" w14:textId="77777777" w:rsidR="009156C1" w:rsidRDefault="009156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9C940" w14:textId="77777777" w:rsidR="009156C1" w:rsidRDefault="009156C1" w:rsidP="00B10EB1">
    <w:pPr>
      <w:pStyle w:val="Footer"/>
      <w:ind w:left="-1417"/>
    </w:pPr>
    <w:r>
      <w:rPr>
        <w:noProof/>
      </w:rPr>
      <w:drawing>
        <wp:inline distT="0" distB="0" distL="0" distR="0" wp14:anchorId="316C3CA8" wp14:editId="205FC05E">
          <wp:extent cx="7518400" cy="5095499"/>
          <wp:effectExtent l="0" t="0" r="6350" b="0"/>
          <wp:docPr id="10" name="Picture 10" descr="illustrations of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rotWithShape="1">
                  <a:blip r:embed="rId1">
                    <a:extLst>
                      <a:ext uri="{28A0092B-C50C-407E-A947-70E740481C1C}">
                        <a14:useLocalDpi xmlns:a14="http://schemas.microsoft.com/office/drawing/2010/main" val="0"/>
                      </a:ext>
                    </a:extLst>
                  </a:blip>
                  <a:srcRect t="18652" b="-1"/>
                  <a:stretch/>
                </pic:blipFill>
                <pic:spPr bwMode="auto">
                  <a:xfrm>
                    <a:off x="0" y="0"/>
                    <a:ext cx="7519594" cy="509630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C40A3" w14:textId="3CAE969F" w:rsidR="009156C1" w:rsidRDefault="00555EE7" w:rsidP="00D86E50">
    <w:pPr>
      <w:pStyle w:val="Footer"/>
      <w:tabs>
        <w:tab w:val="clear" w:pos="4513"/>
        <w:tab w:val="clear" w:pos="9026"/>
        <w:tab w:val="left" w:pos="3040"/>
      </w:tabs>
      <w:jc w:val="center"/>
    </w:pPr>
    <w:sdt>
      <w:sdtPr>
        <w:id w:val="95303039"/>
        <w:docPartObj>
          <w:docPartGallery w:val="Page Numbers (Bottom of Page)"/>
          <w:docPartUnique/>
        </w:docPartObj>
      </w:sdtPr>
      <w:sdtEndPr>
        <w:rPr>
          <w:noProof/>
        </w:rPr>
      </w:sdtEndPr>
      <w:sdtContent>
        <w:r w:rsidR="009156C1">
          <w:fldChar w:fldCharType="begin"/>
        </w:r>
        <w:r w:rsidR="009156C1">
          <w:instrText xml:space="preserve"> PAGE   \* MERGEFORMAT </w:instrText>
        </w:r>
        <w:r w:rsidR="009156C1">
          <w:fldChar w:fldCharType="separate"/>
        </w:r>
        <w:r>
          <w:rPr>
            <w:noProof/>
          </w:rPr>
          <w:t>2</w:t>
        </w:r>
        <w:r w:rsidR="009156C1">
          <w:rPr>
            <w:noProof/>
          </w:rPr>
          <w:fldChar w:fldCharType="end"/>
        </w:r>
      </w:sdtContent>
    </w:sdt>
  </w:p>
  <w:p w14:paraId="58F87B4A" w14:textId="77777777" w:rsidR="009156C1" w:rsidRDefault="009156C1" w:rsidP="00B10EB1">
    <w:pPr>
      <w:pStyle w:val="Footer"/>
      <w:ind w:left="-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3DD55" w14:textId="77777777" w:rsidR="0057612D" w:rsidRDefault="0057612D" w:rsidP="008F3023">
      <w:pPr>
        <w:spacing w:before="0" w:after="0" w:line="240" w:lineRule="auto"/>
      </w:pPr>
      <w:r>
        <w:separator/>
      </w:r>
    </w:p>
  </w:footnote>
  <w:footnote w:type="continuationSeparator" w:id="0">
    <w:p w14:paraId="6B6E6ED0" w14:textId="77777777" w:rsidR="0057612D" w:rsidRDefault="0057612D" w:rsidP="008F302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90190" w14:textId="77777777" w:rsidR="0074716B" w:rsidRDefault="007471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A6E38" w14:textId="77777777" w:rsidR="0074716B" w:rsidRDefault="007471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24DCE" w14:textId="77777777" w:rsidR="009156C1" w:rsidRDefault="009156C1" w:rsidP="00F30908">
    <w:pPr>
      <w:ind w:left="-964"/>
    </w:pPr>
    <w:r>
      <w:rPr>
        <w:noProof/>
      </w:rPr>
      <w:drawing>
        <wp:inline distT="0" distB="0" distL="0" distR="0" wp14:anchorId="2F479F0A" wp14:editId="69AD1E31">
          <wp:extent cx="3236400" cy="936000"/>
          <wp:effectExtent l="0" t="0" r="2540" b="0"/>
          <wp:docPr id="9" name="Picture 9"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0E1B7" w14:textId="77777777" w:rsidR="009156C1" w:rsidRPr="0084227C" w:rsidRDefault="009156C1" w:rsidP="0084227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2A03F" w14:textId="77777777" w:rsidR="009156C1" w:rsidRDefault="009156C1" w:rsidP="00F30908">
    <w:pPr>
      <w:ind w:left="-96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C74FA"/>
    <w:multiLevelType w:val="hybridMultilevel"/>
    <w:tmpl w:val="224638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B16E1D"/>
    <w:multiLevelType w:val="hybridMultilevel"/>
    <w:tmpl w:val="2F147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4A5707"/>
    <w:multiLevelType w:val="hybridMultilevel"/>
    <w:tmpl w:val="A2BA47D2"/>
    <w:lvl w:ilvl="0" w:tplc="DB0CDF00">
      <w:start w:val="1"/>
      <w:numFmt w:val="decimal"/>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C35151"/>
    <w:multiLevelType w:val="hybridMultilevel"/>
    <w:tmpl w:val="8E442A22"/>
    <w:lvl w:ilvl="0" w:tplc="84ECDD4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BB6374"/>
    <w:multiLevelType w:val="hybridMultilevel"/>
    <w:tmpl w:val="29FC1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E96016"/>
    <w:multiLevelType w:val="hybridMultilevel"/>
    <w:tmpl w:val="E33C34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CC13FA"/>
    <w:multiLevelType w:val="hybridMultilevel"/>
    <w:tmpl w:val="7F4CE3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A976399"/>
    <w:multiLevelType w:val="hybridMultilevel"/>
    <w:tmpl w:val="330E04DA"/>
    <w:lvl w:ilvl="0" w:tplc="B43601C4">
      <w:start w:val="1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88630C"/>
    <w:multiLevelType w:val="hybridMultilevel"/>
    <w:tmpl w:val="E4761F26"/>
    <w:lvl w:ilvl="0" w:tplc="1FE4C2BA">
      <w:start w:val="1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381149"/>
    <w:multiLevelType w:val="hybridMultilevel"/>
    <w:tmpl w:val="AA5037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26E50AF"/>
    <w:multiLevelType w:val="hybridMultilevel"/>
    <w:tmpl w:val="5BECE824"/>
    <w:lvl w:ilvl="0" w:tplc="27FEA4B0">
      <w:start w:val="1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5A3AB3"/>
    <w:multiLevelType w:val="hybridMultilevel"/>
    <w:tmpl w:val="FDA69334"/>
    <w:lvl w:ilvl="0" w:tplc="B3AEA53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F12A92"/>
    <w:multiLevelType w:val="hybridMultilevel"/>
    <w:tmpl w:val="E0802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284EDE"/>
    <w:multiLevelType w:val="hybridMultilevel"/>
    <w:tmpl w:val="FBE672F0"/>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2"/>
  </w:num>
  <w:num w:numId="5">
    <w:abstractNumId w:val="0"/>
  </w:num>
  <w:num w:numId="6">
    <w:abstractNumId w:val="1"/>
  </w:num>
  <w:num w:numId="7">
    <w:abstractNumId w:val="5"/>
  </w:num>
  <w:num w:numId="8">
    <w:abstractNumId w:val="9"/>
  </w:num>
  <w:num w:numId="9">
    <w:abstractNumId w:val="12"/>
  </w:num>
  <w:num w:numId="10">
    <w:abstractNumId w:val="6"/>
  </w:num>
  <w:num w:numId="11">
    <w:abstractNumId w:val="8"/>
  </w:num>
  <w:num w:numId="12">
    <w:abstractNumId w:val="15"/>
  </w:num>
  <w:num w:numId="13">
    <w:abstractNumId w:val="4"/>
  </w:num>
  <w:num w:numId="14">
    <w:abstractNumId w:val="13"/>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68B"/>
    <w:rsid w:val="0000092A"/>
    <w:rsid w:val="0000112D"/>
    <w:rsid w:val="00003C7A"/>
    <w:rsid w:val="000050FE"/>
    <w:rsid w:val="0000642E"/>
    <w:rsid w:val="000115C6"/>
    <w:rsid w:val="000140B8"/>
    <w:rsid w:val="00014E54"/>
    <w:rsid w:val="00021C57"/>
    <w:rsid w:val="00023B8B"/>
    <w:rsid w:val="00027E3B"/>
    <w:rsid w:val="00040AE1"/>
    <w:rsid w:val="00044E8F"/>
    <w:rsid w:val="00063AED"/>
    <w:rsid w:val="00067A3B"/>
    <w:rsid w:val="000765D5"/>
    <w:rsid w:val="00081610"/>
    <w:rsid w:val="00081B0A"/>
    <w:rsid w:val="00083608"/>
    <w:rsid w:val="00084051"/>
    <w:rsid w:val="00086596"/>
    <w:rsid w:val="000918E0"/>
    <w:rsid w:val="00093221"/>
    <w:rsid w:val="000A5A54"/>
    <w:rsid w:val="000A6359"/>
    <w:rsid w:val="000B7834"/>
    <w:rsid w:val="000C7D15"/>
    <w:rsid w:val="000D2A73"/>
    <w:rsid w:val="000E4ED8"/>
    <w:rsid w:val="000F05A6"/>
    <w:rsid w:val="000F1B6F"/>
    <w:rsid w:val="000F26DD"/>
    <w:rsid w:val="000F55E9"/>
    <w:rsid w:val="000F75FC"/>
    <w:rsid w:val="00101D54"/>
    <w:rsid w:val="001021E6"/>
    <w:rsid w:val="00102361"/>
    <w:rsid w:val="0010236E"/>
    <w:rsid w:val="001114D0"/>
    <w:rsid w:val="001115A5"/>
    <w:rsid w:val="00113287"/>
    <w:rsid w:val="00117FEB"/>
    <w:rsid w:val="00122E18"/>
    <w:rsid w:val="00135481"/>
    <w:rsid w:val="001379F7"/>
    <w:rsid w:val="001440E7"/>
    <w:rsid w:val="00144C88"/>
    <w:rsid w:val="001510D7"/>
    <w:rsid w:val="001609EA"/>
    <w:rsid w:val="00162C6C"/>
    <w:rsid w:val="001760A2"/>
    <w:rsid w:val="00176ECD"/>
    <w:rsid w:val="00176F42"/>
    <w:rsid w:val="001771DB"/>
    <w:rsid w:val="00187CA6"/>
    <w:rsid w:val="00192DA9"/>
    <w:rsid w:val="001933B5"/>
    <w:rsid w:val="001A1BC6"/>
    <w:rsid w:val="001A4052"/>
    <w:rsid w:val="001A50AC"/>
    <w:rsid w:val="001A73EA"/>
    <w:rsid w:val="001A7461"/>
    <w:rsid w:val="001C3CC4"/>
    <w:rsid w:val="001D5B14"/>
    <w:rsid w:val="001E0EC1"/>
    <w:rsid w:val="001E3FC7"/>
    <w:rsid w:val="001E5242"/>
    <w:rsid w:val="001E630D"/>
    <w:rsid w:val="001F13A9"/>
    <w:rsid w:val="001F2824"/>
    <w:rsid w:val="001F3412"/>
    <w:rsid w:val="001F3A7E"/>
    <w:rsid w:val="001F72E0"/>
    <w:rsid w:val="00201A35"/>
    <w:rsid w:val="00204606"/>
    <w:rsid w:val="002070D1"/>
    <w:rsid w:val="00212765"/>
    <w:rsid w:val="00213EA4"/>
    <w:rsid w:val="00221215"/>
    <w:rsid w:val="002255C1"/>
    <w:rsid w:val="00225CC7"/>
    <w:rsid w:val="002346B5"/>
    <w:rsid w:val="00236F35"/>
    <w:rsid w:val="00237EE1"/>
    <w:rsid w:val="00242CDB"/>
    <w:rsid w:val="00242DD0"/>
    <w:rsid w:val="002505BB"/>
    <w:rsid w:val="00254AAB"/>
    <w:rsid w:val="00254B54"/>
    <w:rsid w:val="00255321"/>
    <w:rsid w:val="00257CBF"/>
    <w:rsid w:val="00261770"/>
    <w:rsid w:val="00264467"/>
    <w:rsid w:val="00273930"/>
    <w:rsid w:val="00275B30"/>
    <w:rsid w:val="002804A4"/>
    <w:rsid w:val="00280500"/>
    <w:rsid w:val="002811ED"/>
    <w:rsid w:val="00281DFB"/>
    <w:rsid w:val="00284C44"/>
    <w:rsid w:val="0029004B"/>
    <w:rsid w:val="002900C0"/>
    <w:rsid w:val="00296159"/>
    <w:rsid w:val="002A0910"/>
    <w:rsid w:val="002A2618"/>
    <w:rsid w:val="002A74FC"/>
    <w:rsid w:val="002B3CC6"/>
    <w:rsid w:val="002B54BF"/>
    <w:rsid w:val="002B6C48"/>
    <w:rsid w:val="002C5172"/>
    <w:rsid w:val="002D2D56"/>
    <w:rsid w:val="002D35A6"/>
    <w:rsid w:val="002D726D"/>
    <w:rsid w:val="002E5C16"/>
    <w:rsid w:val="002E6439"/>
    <w:rsid w:val="002F094F"/>
    <w:rsid w:val="00300E39"/>
    <w:rsid w:val="00303607"/>
    <w:rsid w:val="003044ED"/>
    <w:rsid w:val="00304A8F"/>
    <w:rsid w:val="00310438"/>
    <w:rsid w:val="00311FC7"/>
    <w:rsid w:val="00312E48"/>
    <w:rsid w:val="00324027"/>
    <w:rsid w:val="0033183D"/>
    <w:rsid w:val="00331990"/>
    <w:rsid w:val="00335A14"/>
    <w:rsid w:val="00337926"/>
    <w:rsid w:val="003453D8"/>
    <w:rsid w:val="00360793"/>
    <w:rsid w:val="003615F7"/>
    <w:rsid w:val="003636C1"/>
    <w:rsid w:val="0036494D"/>
    <w:rsid w:val="0036505B"/>
    <w:rsid w:val="0038044C"/>
    <w:rsid w:val="00384126"/>
    <w:rsid w:val="003856FB"/>
    <w:rsid w:val="00391276"/>
    <w:rsid w:val="00397B4D"/>
    <w:rsid w:val="003A1958"/>
    <w:rsid w:val="003A1D5C"/>
    <w:rsid w:val="003A2F52"/>
    <w:rsid w:val="003A70C3"/>
    <w:rsid w:val="003B026D"/>
    <w:rsid w:val="003B0D19"/>
    <w:rsid w:val="003B2BB8"/>
    <w:rsid w:val="003B343F"/>
    <w:rsid w:val="003B7362"/>
    <w:rsid w:val="003C00BC"/>
    <w:rsid w:val="003D16E9"/>
    <w:rsid w:val="003D34FF"/>
    <w:rsid w:val="003E2B62"/>
    <w:rsid w:val="003E448C"/>
    <w:rsid w:val="003E4B90"/>
    <w:rsid w:val="003F0EE2"/>
    <w:rsid w:val="003F1F70"/>
    <w:rsid w:val="003F43E3"/>
    <w:rsid w:val="003F4D92"/>
    <w:rsid w:val="00403055"/>
    <w:rsid w:val="00415770"/>
    <w:rsid w:val="00415B6C"/>
    <w:rsid w:val="004243F2"/>
    <w:rsid w:val="004335EC"/>
    <w:rsid w:val="00433DEF"/>
    <w:rsid w:val="004354E6"/>
    <w:rsid w:val="00436076"/>
    <w:rsid w:val="0044096F"/>
    <w:rsid w:val="00440CB8"/>
    <w:rsid w:val="00460B78"/>
    <w:rsid w:val="00462138"/>
    <w:rsid w:val="00463425"/>
    <w:rsid w:val="00470775"/>
    <w:rsid w:val="00471456"/>
    <w:rsid w:val="00480D52"/>
    <w:rsid w:val="00480DCB"/>
    <w:rsid w:val="00482B29"/>
    <w:rsid w:val="004912CF"/>
    <w:rsid w:val="004A366F"/>
    <w:rsid w:val="004A59BB"/>
    <w:rsid w:val="004B54CA"/>
    <w:rsid w:val="004B6F1E"/>
    <w:rsid w:val="004C2333"/>
    <w:rsid w:val="004C2B9A"/>
    <w:rsid w:val="004D138F"/>
    <w:rsid w:val="004D68E9"/>
    <w:rsid w:val="004E014A"/>
    <w:rsid w:val="004E06D2"/>
    <w:rsid w:val="004E16FF"/>
    <w:rsid w:val="004E4AD0"/>
    <w:rsid w:val="004E5CBF"/>
    <w:rsid w:val="004F77F4"/>
    <w:rsid w:val="004F7EC4"/>
    <w:rsid w:val="00501559"/>
    <w:rsid w:val="00517AE4"/>
    <w:rsid w:val="005203B7"/>
    <w:rsid w:val="0052451D"/>
    <w:rsid w:val="00526741"/>
    <w:rsid w:val="005268F1"/>
    <w:rsid w:val="00526D0D"/>
    <w:rsid w:val="005312DA"/>
    <w:rsid w:val="005358F1"/>
    <w:rsid w:val="005424DA"/>
    <w:rsid w:val="0054713E"/>
    <w:rsid w:val="0054728A"/>
    <w:rsid w:val="00553E2A"/>
    <w:rsid w:val="005543A8"/>
    <w:rsid w:val="00555BFB"/>
    <w:rsid w:val="00555EE7"/>
    <w:rsid w:val="00560E16"/>
    <w:rsid w:val="00563F02"/>
    <w:rsid w:val="005653A0"/>
    <w:rsid w:val="00567053"/>
    <w:rsid w:val="00570678"/>
    <w:rsid w:val="00571E30"/>
    <w:rsid w:val="0057612D"/>
    <w:rsid w:val="00576F17"/>
    <w:rsid w:val="00577489"/>
    <w:rsid w:val="00580789"/>
    <w:rsid w:val="00584FC1"/>
    <w:rsid w:val="00586246"/>
    <w:rsid w:val="005877DC"/>
    <w:rsid w:val="00590E48"/>
    <w:rsid w:val="005976FA"/>
    <w:rsid w:val="00597852"/>
    <w:rsid w:val="00597EBE"/>
    <w:rsid w:val="00597EE4"/>
    <w:rsid w:val="005A37AB"/>
    <w:rsid w:val="005B7D43"/>
    <w:rsid w:val="005C06DE"/>
    <w:rsid w:val="005C1A7B"/>
    <w:rsid w:val="005C302E"/>
    <w:rsid w:val="005C3AA9"/>
    <w:rsid w:val="005C3DEF"/>
    <w:rsid w:val="005C7DEB"/>
    <w:rsid w:val="005D7B77"/>
    <w:rsid w:val="005D7E41"/>
    <w:rsid w:val="005F1780"/>
    <w:rsid w:val="005F423E"/>
    <w:rsid w:val="00604B64"/>
    <w:rsid w:val="00613D80"/>
    <w:rsid w:val="00624D9E"/>
    <w:rsid w:val="00625171"/>
    <w:rsid w:val="006312FB"/>
    <w:rsid w:val="006528AB"/>
    <w:rsid w:val="0065770B"/>
    <w:rsid w:val="00665892"/>
    <w:rsid w:val="0066743D"/>
    <w:rsid w:val="00670D57"/>
    <w:rsid w:val="00684724"/>
    <w:rsid w:val="00690B81"/>
    <w:rsid w:val="00692D8C"/>
    <w:rsid w:val="00692F21"/>
    <w:rsid w:val="00693730"/>
    <w:rsid w:val="006971A7"/>
    <w:rsid w:val="00697424"/>
    <w:rsid w:val="006A40EA"/>
    <w:rsid w:val="006A4CE7"/>
    <w:rsid w:val="006B0324"/>
    <w:rsid w:val="006B2D84"/>
    <w:rsid w:val="006B4666"/>
    <w:rsid w:val="006B58A8"/>
    <w:rsid w:val="006B5C68"/>
    <w:rsid w:val="006B7B98"/>
    <w:rsid w:val="006C0665"/>
    <w:rsid w:val="006C6599"/>
    <w:rsid w:val="006C7CB9"/>
    <w:rsid w:val="006D1D52"/>
    <w:rsid w:val="006D2DA3"/>
    <w:rsid w:val="006E1F04"/>
    <w:rsid w:val="007065F3"/>
    <w:rsid w:val="007111A5"/>
    <w:rsid w:val="00715601"/>
    <w:rsid w:val="00715A4B"/>
    <w:rsid w:val="0072351B"/>
    <w:rsid w:val="0073089B"/>
    <w:rsid w:val="0073320E"/>
    <w:rsid w:val="0074716B"/>
    <w:rsid w:val="00751E76"/>
    <w:rsid w:val="00754CB4"/>
    <w:rsid w:val="00756157"/>
    <w:rsid w:val="00756E39"/>
    <w:rsid w:val="0077095E"/>
    <w:rsid w:val="007776ED"/>
    <w:rsid w:val="007777C7"/>
    <w:rsid w:val="007826C2"/>
    <w:rsid w:val="00783687"/>
    <w:rsid w:val="00784ADF"/>
    <w:rsid w:val="00785261"/>
    <w:rsid w:val="00785F60"/>
    <w:rsid w:val="00791C49"/>
    <w:rsid w:val="00791CD2"/>
    <w:rsid w:val="007A1F8B"/>
    <w:rsid w:val="007B0256"/>
    <w:rsid w:val="007B68AC"/>
    <w:rsid w:val="007B78EC"/>
    <w:rsid w:val="007C0951"/>
    <w:rsid w:val="007C0988"/>
    <w:rsid w:val="007C251F"/>
    <w:rsid w:val="007C4CFA"/>
    <w:rsid w:val="007C6B1D"/>
    <w:rsid w:val="007D3C62"/>
    <w:rsid w:val="007D491D"/>
    <w:rsid w:val="007E3959"/>
    <w:rsid w:val="007E3A5D"/>
    <w:rsid w:val="007E3B8B"/>
    <w:rsid w:val="007E71A0"/>
    <w:rsid w:val="007F1AB9"/>
    <w:rsid w:val="007F354F"/>
    <w:rsid w:val="0080280D"/>
    <w:rsid w:val="008131E7"/>
    <w:rsid w:val="00814927"/>
    <w:rsid w:val="008152A1"/>
    <w:rsid w:val="00822807"/>
    <w:rsid w:val="00834718"/>
    <w:rsid w:val="00837645"/>
    <w:rsid w:val="0084227C"/>
    <w:rsid w:val="008437A6"/>
    <w:rsid w:val="00844B2E"/>
    <w:rsid w:val="00844BA3"/>
    <w:rsid w:val="00852E1E"/>
    <w:rsid w:val="008565DF"/>
    <w:rsid w:val="0085710F"/>
    <w:rsid w:val="0086009E"/>
    <w:rsid w:val="00860856"/>
    <w:rsid w:val="00860FF1"/>
    <w:rsid w:val="00864B61"/>
    <w:rsid w:val="00867C27"/>
    <w:rsid w:val="00876CA6"/>
    <w:rsid w:val="00877018"/>
    <w:rsid w:val="00882633"/>
    <w:rsid w:val="00884771"/>
    <w:rsid w:val="0088505C"/>
    <w:rsid w:val="008916D6"/>
    <w:rsid w:val="008949F0"/>
    <w:rsid w:val="00894FE7"/>
    <w:rsid w:val="00897F18"/>
    <w:rsid w:val="008A25ED"/>
    <w:rsid w:val="008A5A53"/>
    <w:rsid w:val="008B3049"/>
    <w:rsid w:val="008B47C9"/>
    <w:rsid w:val="008C008C"/>
    <w:rsid w:val="008D0CF4"/>
    <w:rsid w:val="008D40D0"/>
    <w:rsid w:val="008E05F5"/>
    <w:rsid w:val="008E6BB6"/>
    <w:rsid w:val="008F3023"/>
    <w:rsid w:val="008F3442"/>
    <w:rsid w:val="008F552A"/>
    <w:rsid w:val="00900C4D"/>
    <w:rsid w:val="00900E8D"/>
    <w:rsid w:val="00903E5E"/>
    <w:rsid w:val="009040C6"/>
    <w:rsid w:val="00905AD8"/>
    <w:rsid w:val="009064EE"/>
    <w:rsid w:val="00907447"/>
    <w:rsid w:val="00907906"/>
    <w:rsid w:val="00913133"/>
    <w:rsid w:val="0091360A"/>
    <w:rsid w:val="009156C1"/>
    <w:rsid w:val="00917AE9"/>
    <w:rsid w:val="009225F0"/>
    <w:rsid w:val="0092411F"/>
    <w:rsid w:val="00934605"/>
    <w:rsid w:val="00942C0D"/>
    <w:rsid w:val="0094563F"/>
    <w:rsid w:val="00947F17"/>
    <w:rsid w:val="00950799"/>
    <w:rsid w:val="00952A28"/>
    <w:rsid w:val="00965EBE"/>
    <w:rsid w:val="00970865"/>
    <w:rsid w:val="009709AB"/>
    <w:rsid w:val="00972AB3"/>
    <w:rsid w:val="009778E8"/>
    <w:rsid w:val="0098110A"/>
    <w:rsid w:val="00983243"/>
    <w:rsid w:val="009837F4"/>
    <w:rsid w:val="00983D83"/>
    <w:rsid w:val="009841A1"/>
    <w:rsid w:val="009845BC"/>
    <w:rsid w:val="00987DDA"/>
    <w:rsid w:val="009952DF"/>
    <w:rsid w:val="00997899"/>
    <w:rsid w:val="009A0E4F"/>
    <w:rsid w:val="009A5482"/>
    <w:rsid w:val="009B179D"/>
    <w:rsid w:val="009B4BE2"/>
    <w:rsid w:val="009C3641"/>
    <w:rsid w:val="009C421F"/>
    <w:rsid w:val="009C55C6"/>
    <w:rsid w:val="009C622A"/>
    <w:rsid w:val="009D19F5"/>
    <w:rsid w:val="009D2352"/>
    <w:rsid w:val="009D3A4B"/>
    <w:rsid w:val="009D3CCB"/>
    <w:rsid w:val="009E0A96"/>
    <w:rsid w:val="009F6AEB"/>
    <w:rsid w:val="00A037ED"/>
    <w:rsid w:val="00A06B3B"/>
    <w:rsid w:val="00A07522"/>
    <w:rsid w:val="00A07896"/>
    <w:rsid w:val="00A13549"/>
    <w:rsid w:val="00A1458D"/>
    <w:rsid w:val="00A149D4"/>
    <w:rsid w:val="00A20CFD"/>
    <w:rsid w:val="00A31C46"/>
    <w:rsid w:val="00A401FA"/>
    <w:rsid w:val="00A421BE"/>
    <w:rsid w:val="00A43D9A"/>
    <w:rsid w:val="00A43E66"/>
    <w:rsid w:val="00A4462B"/>
    <w:rsid w:val="00A4528E"/>
    <w:rsid w:val="00A54D05"/>
    <w:rsid w:val="00A54EBF"/>
    <w:rsid w:val="00A74769"/>
    <w:rsid w:val="00A7563A"/>
    <w:rsid w:val="00A82782"/>
    <w:rsid w:val="00A845D8"/>
    <w:rsid w:val="00A87E68"/>
    <w:rsid w:val="00A943AF"/>
    <w:rsid w:val="00A947AC"/>
    <w:rsid w:val="00A95586"/>
    <w:rsid w:val="00A96944"/>
    <w:rsid w:val="00AA19A2"/>
    <w:rsid w:val="00AA5267"/>
    <w:rsid w:val="00AA7226"/>
    <w:rsid w:val="00AB1B2A"/>
    <w:rsid w:val="00AB2CFA"/>
    <w:rsid w:val="00AC07C7"/>
    <w:rsid w:val="00AC3AC5"/>
    <w:rsid w:val="00AC5DD7"/>
    <w:rsid w:val="00AC614B"/>
    <w:rsid w:val="00AD1533"/>
    <w:rsid w:val="00AD1D52"/>
    <w:rsid w:val="00AE6F95"/>
    <w:rsid w:val="00AF0CC6"/>
    <w:rsid w:val="00AF5F12"/>
    <w:rsid w:val="00AF723B"/>
    <w:rsid w:val="00B03E37"/>
    <w:rsid w:val="00B04661"/>
    <w:rsid w:val="00B05010"/>
    <w:rsid w:val="00B0590C"/>
    <w:rsid w:val="00B10EB1"/>
    <w:rsid w:val="00B10FCB"/>
    <w:rsid w:val="00B11C96"/>
    <w:rsid w:val="00B15AE8"/>
    <w:rsid w:val="00B203C9"/>
    <w:rsid w:val="00B21C18"/>
    <w:rsid w:val="00B242D3"/>
    <w:rsid w:val="00B249E5"/>
    <w:rsid w:val="00B25125"/>
    <w:rsid w:val="00B33293"/>
    <w:rsid w:val="00B40F69"/>
    <w:rsid w:val="00B42EE0"/>
    <w:rsid w:val="00B4668D"/>
    <w:rsid w:val="00B5166E"/>
    <w:rsid w:val="00B52EB7"/>
    <w:rsid w:val="00B539AC"/>
    <w:rsid w:val="00B751A4"/>
    <w:rsid w:val="00B7561B"/>
    <w:rsid w:val="00B80417"/>
    <w:rsid w:val="00B81995"/>
    <w:rsid w:val="00B94C76"/>
    <w:rsid w:val="00B96A12"/>
    <w:rsid w:val="00BA2DB9"/>
    <w:rsid w:val="00BA6A09"/>
    <w:rsid w:val="00BB03A8"/>
    <w:rsid w:val="00BC006A"/>
    <w:rsid w:val="00BC5E9D"/>
    <w:rsid w:val="00BE179B"/>
    <w:rsid w:val="00BE7148"/>
    <w:rsid w:val="00BF1588"/>
    <w:rsid w:val="00BF53F2"/>
    <w:rsid w:val="00BF54CB"/>
    <w:rsid w:val="00BF5D27"/>
    <w:rsid w:val="00C0089A"/>
    <w:rsid w:val="00C0111D"/>
    <w:rsid w:val="00C01486"/>
    <w:rsid w:val="00C02787"/>
    <w:rsid w:val="00C027B8"/>
    <w:rsid w:val="00C1548D"/>
    <w:rsid w:val="00C160DD"/>
    <w:rsid w:val="00C16A9E"/>
    <w:rsid w:val="00C23EEE"/>
    <w:rsid w:val="00C30A5B"/>
    <w:rsid w:val="00C33D03"/>
    <w:rsid w:val="00C42C82"/>
    <w:rsid w:val="00C43897"/>
    <w:rsid w:val="00C445F7"/>
    <w:rsid w:val="00C52FC7"/>
    <w:rsid w:val="00C53102"/>
    <w:rsid w:val="00C53F65"/>
    <w:rsid w:val="00C57001"/>
    <w:rsid w:val="00C613C4"/>
    <w:rsid w:val="00C7212F"/>
    <w:rsid w:val="00C76B3D"/>
    <w:rsid w:val="00C76DF6"/>
    <w:rsid w:val="00C80C81"/>
    <w:rsid w:val="00C917C4"/>
    <w:rsid w:val="00C96BD1"/>
    <w:rsid w:val="00CA313E"/>
    <w:rsid w:val="00CA4F30"/>
    <w:rsid w:val="00CA5D88"/>
    <w:rsid w:val="00CA5E6F"/>
    <w:rsid w:val="00CB718C"/>
    <w:rsid w:val="00CC2491"/>
    <w:rsid w:val="00CE183F"/>
    <w:rsid w:val="00CE1CB4"/>
    <w:rsid w:val="00CE364B"/>
    <w:rsid w:val="00CE37BD"/>
    <w:rsid w:val="00CE38E6"/>
    <w:rsid w:val="00CE3B38"/>
    <w:rsid w:val="00CE3D89"/>
    <w:rsid w:val="00CE4D8A"/>
    <w:rsid w:val="00CF05DC"/>
    <w:rsid w:val="00CF5358"/>
    <w:rsid w:val="00D025C0"/>
    <w:rsid w:val="00D076D0"/>
    <w:rsid w:val="00D07AB5"/>
    <w:rsid w:val="00D10C7B"/>
    <w:rsid w:val="00D10F55"/>
    <w:rsid w:val="00D12D96"/>
    <w:rsid w:val="00D22A8A"/>
    <w:rsid w:val="00D23C1A"/>
    <w:rsid w:val="00D252DE"/>
    <w:rsid w:val="00D304CF"/>
    <w:rsid w:val="00D33002"/>
    <w:rsid w:val="00D3488D"/>
    <w:rsid w:val="00D37CDA"/>
    <w:rsid w:val="00D409CC"/>
    <w:rsid w:val="00D52D2F"/>
    <w:rsid w:val="00D53C50"/>
    <w:rsid w:val="00D53E77"/>
    <w:rsid w:val="00D54DC6"/>
    <w:rsid w:val="00D5725A"/>
    <w:rsid w:val="00D6205C"/>
    <w:rsid w:val="00D62DE8"/>
    <w:rsid w:val="00D667E1"/>
    <w:rsid w:val="00D71C54"/>
    <w:rsid w:val="00D722A4"/>
    <w:rsid w:val="00D745D8"/>
    <w:rsid w:val="00D74A3A"/>
    <w:rsid w:val="00D75A88"/>
    <w:rsid w:val="00D77858"/>
    <w:rsid w:val="00D82823"/>
    <w:rsid w:val="00D82DDB"/>
    <w:rsid w:val="00D8505F"/>
    <w:rsid w:val="00D86E50"/>
    <w:rsid w:val="00D90D3C"/>
    <w:rsid w:val="00D93F21"/>
    <w:rsid w:val="00D95101"/>
    <w:rsid w:val="00D964C3"/>
    <w:rsid w:val="00DB081F"/>
    <w:rsid w:val="00DB1C64"/>
    <w:rsid w:val="00DB33E4"/>
    <w:rsid w:val="00DB40DD"/>
    <w:rsid w:val="00DB695D"/>
    <w:rsid w:val="00DB6E60"/>
    <w:rsid w:val="00DC037B"/>
    <w:rsid w:val="00DC0F92"/>
    <w:rsid w:val="00DC1F4F"/>
    <w:rsid w:val="00DC49BB"/>
    <w:rsid w:val="00DD2BC5"/>
    <w:rsid w:val="00DD796D"/>
    <w:rsid w:val="00DE104F"/>
    <w:rsid w:val="00DE3B30"/>
    <w:rsid w:val="00DF04DC"/>
    <w:rsid w:val="00DF5B98"/>
    <w:rsid w:val="00E01690"/>
    <w:rsid w:val="00E0217B"/>
    <w:rsid w:val="00E16AC7"/>
    <w:rsid w:val="00E17475"/>
    <w:rsid w:val="00E245A6"/>
    <w:rsid w:val="00E27F58"/>
    <w:rsid w:val="00E30C3C"/>
    <w:rsid w:val="00E35B2B"/>
    <w:rsid w:val="00E37762"/>
    <w:rsid w:val="00E42894"/>
    <w:rsid w:val="00E50854"/>
    <w:rsid w:val="00E52880"/>
    <w:rsid w:val="00E57795"/>
    <w:rsid w:val="00E60D12"/>
    <w:rsid w:val="00E60E78"/>
    <w:rsid w:val="00E64F89"/>
    <w:rsid w:val="00E701C0"/>
    <w:rsid w:val="00E708BB"/>
    <w:rsid w:val="00E710C0"/>
    <w:rsid w:val="00E73F98"/>
    <w:rsid w:val="00E7438F"/>
    <w:rsid w:val="00E7464D"/>
    <w:rsid w:val="00E7668B"/>
    <w:rsid w:val="00E772DF"/>
    <w:rsid w:val="00E802A2"/>
    <w:rsid w:val="00E9142D"/>
    <w:rsid w:val="00E9458C"/>
    <w:rsid w:val="00EA09DE"/>
    <w:rsid w:val="00EA3516"/>
    <w:rsid w:val="00EA66F0"/>
    <w:rsid w:val="00EB20D2"/>
    <w:rsid w:val="00EB4C77"/>
    <w:rsid w:val="00EB5AB7"/>
    <w:rsid w:val="00EB6845"/>
    <w:rsid w:val="00EC0A51"/>
    <w:rsid w:val="00EC0A86"/>
    <w:rsid w:val="00ED0F93"/>
    <w:rsid w:val="00EE0BEA"/>
    <w:rsid w:val="00EE3834"/>
    <w:rsid w:val="00EE3944"/>
    <w:rsid w:val="00EF1AC7"/>
    <w:rsid w:val="00EF3B25"/>
    <w:rsid w:val="00EF3BBF"/>
    <w:rsid w:val="00EF44FB"/>
    <w:rsid w:val="00EF4EEE"/>
    <w:rsid w:val="00EF7932"/>
    <w:rsid w:val="00F01398"/>
    <w:rsid w:val="00F04C32"/>
    <w:rsid w:val="00F2083A"/>
    <w:rsid w:val="00F20CCE"/>
    <w:rsid w:val="00F30908"/>
    <w:rsid w:val="00F32489"/>
    <w:rsid w:val="00F357B2"/>
    <w:rsid w:val="00F35D62"/>
    <w:rsid w:val="00F43BB5"/>
    <w:rsid w:val="00F451D1"/>
    <w:rsid w:val="00F52F44"/>
    <w:rsid w:val="00F53A9A"/>
    <w:rsid w:val="00F56D5B"/>
    <w:rsid w:val="00F6502E"/>
    <w:rsid w:val="00F81CD8"/>
    <w:rsid w:val="00F821BD"/>
    <w:rsid w:val="00F852B2"/>
    <w:rsid w:val="00F85669"/>
    <w:rsid w:val="00F8755D"/>
    <w:rsid w:val="00F90E57"/>
    <w:rsid w:val="00F93318"/>
    <w:rsid w:val="00FA6EF9"/>
    <w:rsid w:val="00FB04F6"/>
    <w:rsid w:val="00FB50E9"/>
    <w:rsid w:val="00FB6319"/>
    <w:rsid w:val="00FB71C1"/>
    <w:rsid w:val="00FB7837"/>
    <w:rsid w:val="00FC143A"/>
    <w:rsid w:val="00FC26CA"/>
    <w:rsid w:val="00FC5B3C"/>
    <w:rsid w:val="00FC5F9B"/>
    <w:rsid w:val="00FE0D4A"/>
    <w:rsid w:val="00FF3631"/>
    <w:rsid w:val="00FF78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54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A8"/>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5543A8"/>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2"/>
    <w:unhideWhenUsed/>
    <w:qFormat/>
    <w:rsid w:val="0054713E"/>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543A8"/>
    <w:rPr>
      <w:rFonts w:ascii="Georgia" w:eastAsiaTheme="majorEastAsia" w:hAnsi="Georgia" w:cstheme="majorBidi"/>
      <w:bCs/>
      <w:color w:val="24596E"/>
      <w:sz w:val="36"/>
      <w:szCs w:val="28"/>
      <w:lang w:eastAsia="en-AU"/>
    </w:rPr>
  </w:style>
  <w:style w:type="character" w:customStyle="1" w:styleId="Heading2Char">
    <w:name w:val="Heading 2 Char"/>
    <w:basedOn w:val="DefaultParagraphFont"/>
    <w:link w:val="Heading2"/>
    <w:uiPriority w:val="2"/>
    <w:rsid w:val="0054713E"/>
    <w:rPr>
      <w:rFonts w:ascii="Georgia" w:eastAsiaTheme="majorEastAsia" w:hAnsi="Georgia" w:cstheme="majorBidi"/>
      <w:bCs/>
      <w:color w:val="005A70"/>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94563F"/>
    <w:pPr>
      <w:spacing w:before="1440" w:line="240" w:lineRule="auto"/>
      <w:contextualSpacing/>
    </w:pPr>
    <w:rPr>
      <w:rFonts w:ascii="Georgia" w:eastAsiaTheme="majorEastAsia" w:hAnsi="Georgia" w:cstheme="majorBidi"/>
      <w:color w:val="24596E"/>
      <w:spacing w:val="5"/>
      <w:sz w:val="66"/>
      <w:szCs w:val="52"/>
    </w:rPr>
  </w:style>
  <w:style w:type="character" w:customStyle="1" w:styleId="TitleChar">
    <w:name w:val="Title Char"/>
    <w:basedOn w:val="DefaultParagraphFont"/>
    <w:link w:val="Title"/>
    <w:uiPriority w:val="10"/>
    <w:rsid w:val="0094563F"/>
    <w:rPr>
      <w:rFonts w:ascii="Georgia" w:eastAsiaTheme="majorEastAsia" w:hAnsi="Georgia" w:cstheme="majorBidi"/>
      <w:color w:val="24596E"/>
      <w:spacing w:val="5"/>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uiPriority w:val="34"/>
    <w:qFormat/>
    <w:rsid w:val="00E30C3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5543A8"/>
    <w:pPr>
      <w:spacing w:before="4000"/>
      <w:jc w:val="center"/>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471456"/>
    <w:pPr>
      <w:spacing w:after="0" w:line="240" w:lineRule="auto"/>
    </w:pPr>
    <w:rPr>
      <w:rFonts w:ascii="Arial" w:hAnsi="Arial"/>
      <w:sz w:val="24"/>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E30C3C"/>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5543A8"/>
    <w:pPr>
      <w:spacing w:before="120" w:after="120" w:line="240" w:lineRule="auto"/>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5543A8"/>
    <w:rPr>
      <w:rFonts w:ascii="Georgia" w:eastAsia="Times New Roman" w:hAnsi="Georgia" w:cs="Arial"/>
      <w:bCs/>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0B7834"/>
    <w:pPr>
      <w:tabs>
        <w:tab w:val="right" w:leader="dot" w:pos="9344"/>
      </w:tabs>
      <w:spacing w:after="100" w:line="480" w:lineRule="auto"/>
    </w:pPr>
  </w:style>
  <w:style w:type="paragraph" w:styleId="TOC2">
    <w:name w:val="toc 2"/>
    <w:basedOn w:val="Normal"/>
    <w:next w:val="Normal"/>
    <w:autoRedefine/>
    <w:uiPriority w:val="39"/>
    <w:unhideWhenUsed/>
    <w:rsid w:val="00D62DE8"/>
    <w:pPr>
      <w:tabs>
        <w:tab w:val="right" w:leader="dot" w:pos="9344"/>
      </w:tabs>
      <w:spacing w:after="0" w:line="480" w:lineRule="auto"/>
      <w:ind w:left="198"/>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7E3B8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BB03A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B1E4E3"/>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CommentReference">
    <w:name w:val="annotation reference"/>
    <w:basedOn w:val="DefaultParagraphFont"/>
    <w:uiPriority w:val="99"/>
    <w:semiHidden/>
    <w:unhideWhenUsed/>
    <w:rsid w:val="00B15AE8"/>
    <w:rPr>
      <w:sz w:val="16"/>
      <w:szCs w:val="16"/>
    </w:rPr>
  </w:style>
  <w:style w:type="paragraph" w:styleId="CommentText">
    <w:name w:val="annotation text"/>
    <w:basedOn w:val="Normal"/>
    <w:link w:val="CommentTextChar"/>
    <w:uiPriority w:val="99"/>
    <w:semiHidden/>
    <w:unhideWhenUsed/>
    <w:rsid w:val="00B15AE8"/>
    <w:pPr>
      <w:spacing w:line="240" w:lineRule="auto"/>
    </w:pPr>
    <w:rPr>
      <w:sz w:val="20"/>
      <w:szCs w:val="20"/>
    </w:rPr>
  </w:style>
  <w:style w:type="character" w:customStyle="1" w:styleId="CommentTextChar">
    <w:name w:val="Comment Text Char"/>
    <w:basedOn w:val="DefaultParagraphFont"/>
    <w:link w:val="CommentText"/>
    <w:uiPriority w:val="99"/>
    <w:semiHidden/>
    <w:rsid w:val="00B15AE8"/>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B15AE8"/>
    <w:rPr>
      <w:b/>
      <w:bCs/>
    </w:rPr>
  </w:style>
  <w:style w:type="character" w:customStyle="1" w:styleId="CommentSubjectChar">
    <w:name w:val="Comment Subject Char"/>
    <w:basedOn w:val="CommentTextChar"/>
    <w:link w:val="CommentSubject"/>
    <w:uiPriority w:val="99"/>
    <w:semiHidden/>
    <w:rsid w:val="00B15AE8"/>
    <w:rPr>
      <w:rFonts w:ascii="Arial" w:eastAsia="Times New Roman" w:hAnsi="Arial" w:cs="Times New Roman"/>
      <w:b/>
      <w:bCs/>
      <w:spacing w:val="4"/>
      <w:sz w:val="20"/>
      <w:szCs w:val="20"/>
      <w:lang w:eastAsia="en-AU"/>
    </w:rPr>
  </w:style>
  <w:style w:type="table" w:styleId="GridTable5Dark-Accent4">
    <w:name w:val="Grid Table 5 Dark Accent 4"/>
    <w:basedOn w:val="TableNormal"/>
    <w:uiPriority w:val="50"/>
    <w:rsid w:val="003607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EF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7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7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7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70" w:themeFill="accent4"/>
      </w:tcPr>
    </w:tblStylePr>
    <w:tblStylePr w:type="band1Vert">
      <w:tblPr/>
      <w:tcPr>
        <w:shd w:val="clear" w:color="auto" w:fill="5FDFFF" w:themeFill="accent4" w:themeFillTint="66"/>
      </w:tcPr>
    </w:tblStylePr>
    <w:tblStylePr w:type="band1Horz">
      <w:tblPr/>
      <w:tcPr>
        <w:shd w:val="clear" w:color="auto" w:fill="5FDFFF" w:themeFill="accent4" w:themeFillTint="66"/>
      </w:tcPr>
    </w:tblStylePr>
  </w:style>
  <w:style w:type="table" w:styleId="GridTable5Dark-Accent5">
    <w:name w:val="Grid Table 5 Dark Accent 5"/>
    <w:basedOn w:val="TableNormal"/>
    <w:uiPriority w:val="50"/>
    <w:rsid w:val="003607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FB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0B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0B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0B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0B9" w:themeFill="accent5"/>
      </w:tcPr>
    </w:tblStylePr>
    <w:tblStylePr w:type="band1Vert">
      <w:tblPr/>
      <w:tcPr>
        <w:shd w:val="clear" w:color="auto" w:fill="7DF8FF" w:themeFill="accent5" w:themeFillTint="66"/>
      </w:tcPr>
    </w:tblStylePr>
    <w:tblStylePr w:type="band1Horz">
      <w:tblPr/>
      <w:tcPr>
        <w:shd w:val="clear" w:color="auto" w:fill="7DF8FF" w:themeFill="accent5" w:themeFillTint="66"/>
      </w:tcPr>
    </w:tblStylePr>
  </w:style>
  <w:style w:type="table" w:styleId="GridTable5Dark-Accent3">
    <w:name w:val="Grid Table 5 Dark Accent 3"/>
    <w:basedOn w:val="TableNormal"/>
    <w:uiPriority w:val="50"/>
    <w:rsid w:val="003607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9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E4E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E4E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E4E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E4E3" w:themeFill="accent3"/>
      </w:tcPr>
    </w:tblStylePr>
    <w:tblStylePr w:type="band1Vert">
      <w:tblPr/>
      <w:tcPr>
        <w:shd w:val="clear" w:color="auto" w:fill="DFF4F3" w:themeFill="accent3" w:themeFillTint="66"/>
      </w:tcPr>
    </w:tblStylePr>
    <w:tblStylePr w:type="band1Horz">
      <w:tblPr/>
      <w:tcPr>
        <w:shd w:val="clear" w:color="auto" w:fill="DFF4F3" w:themeFill="accent3" w:themeFillTint="66"/>
      </w:tcPr>
    </w:tblStylePr>
  </w:style>
  <w:style w:type="table" w:styleId="GridTable5Dark-Accent2">
    <w:name w:val="Grid Table 5 Dark Accent 2"/>
    <w:basedOn w:val="TableNormal"/>
    <w:uiPriority w:val="50"/>
    <w:rsid w:val="003607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FB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0B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0B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0B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0B9" w:themeFill="accent2"/>
      </w:tcPr>
    </w:tblStylePr>
    <w:tblStylePr w:type="band1Vert">
      <w:tblPr/>
      <w:tcPr>
        <w:shd w:val="clear" w:color="auto" w:fill="7DF8FF" w:themeFill="accent2" w:themeFillTint="66"/>
      </w:tcPr>
    </w:tblStylePr>
    <w:tblStylePr w:type="band1Horz">
      <w:tblPr/>
      <w:tcPr>
        <w:shd w:val="clear" w:color="auto" w:fill="7DF8FF" w:themeFill="accent2" w:themeFillTint="66"/>
      </w:tcPr>
    </w:tblStylePr>
  </w:style>
  <w:style w:type="table" w:styleId="GridTable5Dark-Accent6">
    <w:name w:val="Grid Table 5 Dark Accent 6"/>
    <w:basedOn w:val="TableNormal"/>
    <w:uiPriority w:val="50"/>
    <w:rsid w:val="003607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9F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E4E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E4E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E4E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E4E3" w:themeFill="accent6"/>
      </w:tcPr>
    </w:tblStylePr>
    <w:tblStylePr w:type="band1Vert">
      <w:tblPr/>
      <w:tcPr>
        <w:shd w:val="clear" w:color="auto" w:fill="DFF4F3" w:themeFill="accent6" w:themeFillTint="66"/>
      </w:tcPr>
    </w:tblStylePr>
    <w:tblStylePr w:type="band1Horz">
      <w:tblPr/>
      <w:tcPr>
        <w:shd w:val="clear" w:color="auto" w:fill="DFF4F3" w:themeFill="accent6" w:themeFillTint="66"/>
      </w:tcPr>
    </w:tblStylePr>
  </w:style>
  <w:style w:type="table" w:styleId="ListTable3-Accent2">
    <w:name w:val="List Table 3 Accent 2"/>
    <w:basedOn w:val="TableNormal"/>
    <w:uiPriority w:val="48"/>
    <w:rsid w:val="00360793"/>
    <w:pPr>
      <w:spacing w:after="0" w:line="240" w:lineRule="auto"/>
    </w:pPr>
    <w:tblPr>
      <w:tblStyleRowBandSize w:val="1"/>
      <w:tblStyleColBandSize w:val="1"/>
      <w:tblBorders>
        <w:top w:val="single" w:sz="4" w:space="0" w:color="00B0B9" w:themeColor="accent2"/>
        <w:left w:val="single" w:sz="4" w:space="0" w:color="00B0B9" w:themeColor="accent2"/>
        <w:bottom w:val="single" w:sz="4" w:space="0" w:color="00B0B9" w:themeColor="accent2"/>
        <w:right w:val="single" w:sz="4" w:space="0" w:color="00B0B9" w:themeColor="accent2"/>
      </w:tblBorders>
    </w:tblPr>
    <w:tblStylePr w:type="firstRow">
      <w:rPr>
        <w:b/>
        <w:bCs/>
        <w:color w:val="FFFFFF" w:themeColor="background1"/>
      </w:rPr>
      <w:tblPr/>
      <w:tcPr>
        <w:shd w:val="clear" w:color="auto" w:fill="00B0B9" w:themeFill="accent2"/>
      </w:tcPr>
    </w:tblStylePr>
    <w:tblStylePr w:type="lastRow">
      <w:rPr>
        <w:b/>
        <w:bCs/>
      </w:rPr>
      <w:tblPr/>
      <w:tcPr>
        <w:tcBorders>
          <w:top w:val="double" w:sz="4" w:space="0" w:color="00B0B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0B9" w:themeColor="accent2"/>
          <w:right w:val="single" w:sz="4" w:space="0" w:color="00B0B9" w:themeColor="accent2"/>
        </w:tcBorders>
      </w:tcPr>
    </w:tblStylePr>
    <w:tblStylePr w:type="band1Horz">
      <w:tblPr/>
      <w:tcPr>
        <w:tcBorders>
          <w:top w:val="single" w:sz="4" w:space="0" w:color="00B0B9" w:themeColor="accent2"/>
          <w:bottom w:val="single" w:sz="4" w:space="0" w:color="00B0B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0B9" w:themeColor="accent2"/>
          <w:left w:val="nil"/>
        </w:tcBorders>
      </w:tcPr>
    </w:tblStylePr>
    <w:tblStylePr w:type="swCell">
      <w:tblPr/>
      <w:tcPr>
        <w:tcBorders>
          <w:top w:val="double" w:sz="4" w:space="0" w:color="00B0B9" w:themeColor="accent2"/>
          <w:right w:val="nil"/>
        </w:tcBorders>
      </w:tcPr>
    </w:tblStylePr>
  </w:style>
  <w:style w:type="table" w:styleId="GridTable5Dark-Accent1">
    <w:name w:val="Grid Table 5 Dark Accent 1"/>
    <w:basedOn w:val="TableNormal"/>
    <w:uiPriority w:val="50"/>
    <w:rsid w:val="00B94C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E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7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7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7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70" w:themeFill="accent1"/>
      </w:tcPr>
    </w:tblStylePr>
    <w:tblStylePr w:type="band1Vert">
      <w:tblPr/>
      <w:tcPr>
        <w:shd w:val="clear" w:color="auto" w:fill="5FDFFF" w:themeFill="accent1" w:themeFillTint="66"/>
      </w:tcPr>
    </w:tblStylePr>
    <w:tblStylePr w:type="band1Horz">
      <w:tblPr/>
      <w:tcPr>
        <w:shd w:val="clear" w:color="auto" w:fill="5FDFFF" w:themeFill="accent1" w:themeFillTint="66"/>
      </w:tcPr>
    </w:tblStylePr>
  </w:style>
  <w:style w:type="character" w:styleId="FollowedHyperlink">
    <w:name w:val="FollowedHyperlink"/>
    <w:basedOn w:val="DefaultParagraphFont"/>
    <w:uiPriority w:val="99"/>
    <w:semiHidden/>
    <w:unhideWhenUsed/>
    <w:rsid w:val="007F1AB9"/>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721">
      <w:bodyDiv w:val="1"/>
      <w:marLeft w:val="0"/>
      <w:marRight w:val="0"/>
      <w:marTop w:val="0"/>
      <w:marBottom w:val="0"/>
      <w:divBdr>
        <w:top w:val="none" w:sz="0" w:space="0" w:color="auto"/>
        <w:left w:val="none" w:sz="0" w:space="0" w:color="auto"/>
        <w:bottom w:val="none" w:sz="0" w:space="0" w:color="auto"/>
        <w:right w:val="none" w:sz="0" w:space="0" w:color="auto"/>
      </w:divBdr>
    </w:div>
    <w:div w:id="179467252">
      <w:bodyDiv w:val="1"/>
      <w:marLeft w:val="0"/>
      <w:marRight w:val="0"/>
      <w:marTop w:val="0"/>
      <w:marBottom w:val="0"/>
      <w:divBdr>
        <w:top w:val="none" w:sz="0" w:space="0" w:color="auto"/>
        <w:left w:val="none" w:sz="0" w:space="0" w:color="auto"/>
        <w:bottom w:val="none" w:sz="0" w:space="0" w:color="auto"/>
        <w:right w:val="none" w:sz="0" w:space="0" w:color="auto"/>
      </w:divBdr>
    </w:div>
    <w:div w:id="213280067">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50270454">
      <w:bodyDiv w:val="1"/>
      <w:marLeft w:val="0"/>
      <w:marRight w:val="0"/>
      <w:marTop w:val="0"/>
      <w:marBottom w:val="0"/>
      <w:divBdr>
        <w:top w:val="none" w:sz="0" w:space="0" w:color="auto"/>
        <w:left w:val="none" w:sz="0" w:space="0" w:color="auto"/>
        <w:bottom w:val="none" w:sz="0" w:space="0" w:color="auto"/>
        <w:right w:val="none" w:sz="0" w:space="0" w:color="auto"/>
      </w:divBdr>
    </w:div>
    <w:div w:id="1172185506">
      <w:bodyDiv w:val="1"/>
      <w:marLeft w:val="0"/>
      <w:marRight w:val="0"/>
      <w:marTop w:val="0"/>
      <w:marBottom w:val="0"/>
      <w:divBdr>
        <w:top w:val="none" w:sz="0" w:space="0" w:color="auto"/>
        <w:left w:val="none" w:sz="0" w:space="0" w:color="auto"/>
        <w:bottom w:val="none" w:sz="0" w:space="0" w:color="auto"/>
        <w:right w:val="none" w:sz="0" w:space="0" w:color="auto"/>
      </w:divBdr>
    </w:div>
    <w:div w:id="1432624046">
      <w:bodyDiv w:val="1"/>
      <w:marLeft w:val="0"/>
      <w:marRight w:val="0"/>
      <w:marTop w:val="0"/>
      <w:marBottom w:val="0"/>
      <w:divBdr>
        <w:top w:val="none" w:sz="0" w:space="0" w:color="auto"/>
        <w:left w:val="none" w:sz="0" w:space="0" w:color="auto"/>
        <w:bottom w:val="none" w:sz="0" w:space="0" w:color="auto"/>
        <w:right w:val="none" w:sz="0" w:space="0" w:color="auto"/>
      </w:divBdr>
      <w:divsChild>
        <w:div w:id="643969246">
          <w:marLeft w:val="0"/>
          <w:marRight w:val="0"/>
          <w:marTop w:val="240"/>
          <w:marBottom w:val="0"/>
          <w:divBdr>
            <w:top w:val="none" w:sz="0" w:space="0" w:color="auto"/>
            <w:left w:val="none" w:sz="0" w:space="0" w:color="auto"/>
            <w:bottom w:val="none" w:sz="0" w:space="0" w:color="auto"/>
            <w:right w:val="none" w:sz="0" w:space="0" w:color="auto"/>
          </w:divBdr>
          <w:divsChild>
            <w:div w:id="1724252288">
              <w:marLeft w:val="0"/>
              <w:marRight w:val="0"/>
              <w:marTop w:val="0"/>
              <w:marBottom w:val="0"/>
              <w:divBdr>
                <w:top w:val="none" w:sz="0" w:space="0" w:color="auto"/>
                <w:left w:val="none" w:sz="0" w:space="0" w:color="auto"/>
                <w:bottom w:val="none" w:sz="0" w:space="0" w:color="auto"/>
                <w:right w:val="none" w:sz="0" w:space="0" w:color="auto"/>
              </w:divBdr>
            </w:div>
          </w:divsChild>
        </w:div>
        <w:div w:id="1122727159">
          <w:marLeft w:val="0"/>
          <w:marRight w:val="0"/>
          <w:marTop w:val="0"/>
          <w:marBottom w:val="0"/>
          <w:divBdr>
            <w:top w:val="none" w:sz="0" w:space="0" w:color="auto"/>
            <w:left w:val="none" w:sz="0" w:space="0" w:color="auto"/>
            <w:bottom w:val="none" w:sz="0" w:space="0" w:color="auto"/>
            <w:right w:val="none" w:sz="0" w:space="0" w:color="auto"/>
          </w:divBdr>
          <w:divsChild>
            <w:div w:id="13591562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11284369">
      <w:bodyDiv w:val="1"/>
      <w:marLeft w:val="0"/>
      <w:marRight w:val="0"/>
      <w:marTop w:val="0"/>
      <w:marBottom w:val="0"/>
      <w:divBdr>
        <w:top w:val="none" w:sz="0" w:space="0" w:color="auto"/>
        <w:left w:val="none" w:sz="0" w:space="0" w:color="auto"/>
        <w:bottom w:val="none" w:sz="0" w:space="0" w:color="auto"/>
        <w:right w:val="none" w:sz="0" w:space="0" w:color="auto"/>
      </w:divBdr>
    </w:div>
    <w:div w:id="212476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DisabilityandCarerPayments@dss.gov.au"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ngage.dss.gov.au" TargetMode="External"/><Relationship Id="rId2" Type="http://schemas.openxmlformats.org/officeDocument/2006/relationships/numbering" Target="numbering.xml"/><Relationship Id="rId16" Type="http://schemas.openxmlformats.org/officeDocument/2006/relationships/hyperlink" Target="https://www.legislation.gov.au/Series/F2011L02716"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ngage.dss.gov.a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ngage.dss.gov.au"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A3F87-7029-488B-B170-40332F11E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3485</Words>
  <Characters>19868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2021-06-02T06:53:00Z</dcterms:created>
  <dcterms:modified xsi:type="dcterms:W3CDTF">2021-06-02T06:53:00Z</dcterms:modified>
</cp:coreProperties>
</file>