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CFE0" w14:textId="77777777" w:rsidR="0043611F" w:rsidRPr="009300C3" w:rsidRDefault="0043611F" w:rsidP="0043611F">
      <w:pPr>
        <w:jc w:val="center"/>
        <w:rPr>
          <w:rFonts w:asciiTheme="minorHAnsi" w:eastAsia="Times New Roman" w:hAnsiTheme="minorHAnsi" w:cstheme="minorHAnsi"/>
          <w:b/>
          <w:bCs/>
          <w:color w:val="00767F"/>
          <w:kern w:val="28"/>
          <w:sz w:val="44"/>
          <w:szCs w:val="32"/>
          <w:lang w:val="en-AU"/>
        </w:rPr>
      </w:pPr>
      <w:r w:rsidRPr="009300C3">
        <w:rPr>
          <w:rFonts w:asciiTheme="minorHAnsi" w:eastAsia="Times New Roman" w:hAnsiTheme="minorHAnsi" w:cstheme="minorHAnsi"/>
          <w:b/>
          <w:bCs/>
          <w:noProof/>
          <w:color w:val="00767F"/>
          <w:kern w:val="28"/>
          <w:sz w:val="44"/>
          <w:szCs w:val="32"/>
          <w:lang w:val="en-AU" w:eastAsia="en-AU"/>
        </w:rPr>
        <w:drawing>
          <wp:inline distT="0" distB="0" distL="0" distR="0" wp14:anchorId="441B85A5" wp14:editId="6EE2ECA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6DE17B98" w14:textId="4EE64C31" w:rsidR="0043611F" w:rsidRPr="009300C3" w:rsidRDefault="0043611F" w:rsidP="0043611F">
      <w:pPr>
        <w:jc w:val="center"/>
        <w:rPr>
          <w:rFonts w:asciiTheme="minorHAnsi" w:eastAsia="Times New Roman" w:hAnsiTheme="minorHAnsi" w:cstheme="minorHAnsi"/>
          <w:b/>
          <w:bCs/>
          <w:color w:val="00767F"/>
          <w:kern w:val="28"/>
          <w:sz w:val="44"/>
          <w:szCs w:val="32"/>
          <w:lang w:val="en-AU"/>
        </w:rPr>
      </w:pPr>
    </w:p>
    <w:p w14:paraId="7405C6E5" w14:textId="77777777" w:rsidR="0043611F" w:rsidRPr="009300C3" w:rsidRDefault="0043611F" w:rsidP="0043611F">
      <w:pPr>
        <w:jc w:val="center"/>
        <w:rPr>
          <w:rFonts w:asciiTheme="minorHAnsi" w:eastAsia="Times New Roman" w:hAnsiTheme="minorHAnsi" w:cstheme="minorHAnsi"/>
          <w:b/>
          <w:bCs/>
          <w:color w:val="00767F"/>
          <w:kern w:val="28"/>
          <w:sz w:val="44"/>
          <w:szCs w:val="32"/>
          <w:lang w:val="en-AU"/>
        </w:rPr>
      </w:pPr>
    </w:p>
    <w:p w14:paraId="22294CDB" w14:textId="0C074919" w:rsidR="005A48DC" w:rsidRPr="009300C3" w:rsidRDefault="005A48DC" w:rsidP="0043611F">
      <w:pPr>
        <w:jc w:val="center"/>
        <w:rPr>
          <w:rFonts w:asciiTheme="majorHAnsi" w:eastAsia="Times New Roman" w:hAnsiTheme="majorHAnsi" w:cstheme="majorHAnsi"/>
          <w:b/>
          <w:bCs/>
          <w:kern w:val="28"/>
          <w:sz w:val="72"/>
          <w:szCs w:val="72"/>
          <w:lang w:val="en-AU"/>
        </w:rPr>
      </w:pPr>
      <w:r w:rsidRPr="009300C3">
        <w:rPr>
          <w:rFonts w:asciiTheme="majorHAnsi" w:eastAsia="Times New Roman" w:hAnsiTheme="majorHAnsi" w:cstheme="majorHAnsi"/>
          <w:b/>
          <w:bCs/>
          <w:kern w:val="28"/>
          <w:sz w:val="72"/>
          <w:szCs w:val="72"/>
          <w:lang w:val="en-AU"/>
        </w:rPr>
        <w:t>Feedback to Inform the National Dementia Action Plan 2023-20</w:t>
      </w:r>
      <w:r w:rsidR="00B1223C" w:rsidRPr="009300C3">
        <w:rPr>
          <w:rFonts w:asciiTheme="majorHAnsi" w:eastAsia="Times New Roman" w:hAnsiTheme="majorHAnsi" w:cstheme="majorHAnsi"/>
          <w:b/>
          <w:bCs/>
          <w:kern w:val="28"/>
          <w:sz w:val="72"/>
          <w:szCs w:val="72"/>
          <w:lang w:val="en-AU"/>
        </w:rPr>
        <w:t>3</w:t>
      </w:r>
      <w:r w:rsidRPr="009300C3">
        <w:rPr>
          <w:rFonts w:asciiTheme="majorHAnsi" w:eastAsia="Times New Roman" w:hAnsiTheme="majorHAnsi" w:cstheme="majorHAnsi"/>
          <w:b/>
          <w:bCs/>
          <w:kern w:val="28"/>
          <w:sz w:val="72"/>
          <w:szCs w:val="72"/>
          <w:lang w:val="en-AU"/>
        </w:rPr>
        <w:t>3</w:t>
      </w:r>
    </w:p>
    <w:p w14:paraId="36D7D125" w14:textId="4706CC47" w:rsidR="0043611F" w:rsidRPr="009300C3" w:rsidRDefault="00931654" w:rsidP="00733BC2">
      <w:pPr>
        <w:jc w:val="center"/>
        <w:rPr>
          <w:rFonts w:asciiTheme="majorHAnsi" w:eastAsiaTheme="majorEastAsia" w:hAnsiTheme="majorHAnsi" w:cstheme="majorHAnsi"/>
          <w:b/>
          <w:color w:val="006666"/>
          <w:sz w:val="48"/>
          <w:szCs w:val="48"/>
          <w:lang w:val="en-AU" w:eastAsia="zh-CN"/>
        </w:rPr>
      </w:pPr>
      <w:r w:rsidRPr="009300C3">
        <w:rPr>
          <w:rStyle w:val="Heading2Char"/>
          <w:rFonts w:cstheme="majorHAnsi"/>
          <w:color w:val="006666"/>
          <w:sz w:val="48"/>
          <w:szCs w:val="48"/>
        </w:rPr>
        <w:t xml:space="preserve">Submission to </w:t>
      </w:r>
      <w:r w:rsidR="00733BC2" w:rsidRPr="009300C3">
        <w:rPr>
          <w:rStyle w:val="Heading2Char"/>
          <w:rFonts w:cstheme="majorHAnsi"/>
          <w:color w:val="006666"/>
          <w:sz w:val="48"/>
          <w:szCs w:val="48"/>
        </w:rPr>
        <w:t>the Department of Health and Aged Care</w:t>
      </w:r>
    </w:p>
    <w:p w14:paraId="13CFDC7C" w14:textId="7F444040" w:rsidR="0043611F" w:rsidRPr="009300C3" w:rsidRDefault="0043611F" w:rsidP="0043611F">
      <w:pPr>
        <w:jc w:val="center"/>
        <w:rPr>
          <w:rFonts w:asciiTheme="majorHAnsi" w:hAnsiTheme="majorHAnsi" w:cstheme="majorHAnsi"/>
          <w:b/>
          <w:color w:val="343434"/>
          <w:sz w:val="28"/>
          <w:szCs w:val="72"/>
          <w:lang w:val="en-AU"/>
        </w:rPr>
      </w:pPr>
    </w:p>
    <w:p w14:paraId="7861CF5B" w14:textId="77777777" w:rsidR="0043611F" w:rsidRPr="009300C3" w:rsidRDefault="0043611F" w:rsidP="0043611F">
      <w:pPr>
        <w:jc w:val="center"/>
        <w:rPr>
          <w:rFonts w:asciiTheme="majorHAnsi" w:hAnsiTheme="majorHAnsi" w:cstheme="majorHAnsi"/>
          <w:b/>
          <w:color w:val="343434"/>
          <w:sz w:val="28"/>
          <w:szCs w:val="72"/>
          <w:lang w:val="en-AU"/>
        </w:rPr>
      </w:pPr>
    </w:p>
    <w:p w14:paraId="0D877D0B" w14:textId="4D86A435" w:rsidR="0043611F" w:rsidRPr="009300C3" w:rsidRDefault="00B368D3" w:rsidP="0043611F">
      <w:pPr>
        <w:jc w:val="center"/>
        <w:rPr>
          <w:rFonts w:asciiTheme="majorHAnsi" w:hAnsiTheme="majorHAnsi" w:cstheme="majorHAnsi"/>
          <w:b/>
          <w:color w:val="343434"/>
          <w:sz w:val="32"/>
          <w:szCs w:val="32"/>
          <w:lang w:val="en-AU"/>
        </w:rPr>
      </w:pPr>
      <w:bookmarkStart w:id="0" w:name="_Toc525849192"/>
      <w:bookmarkStart w:id="1" w:name="_Toc254011"/>
      <w:bookmarkStart w:id="2" w:name="_Toc2206648"/>
      <w:r w:rsidRPr="009300C3">
        <w:rPr>
          <w:rFonts w:asciiTheme="majorHAnsi" w:hAnsiTheme="majorHAnsi" w:cstheme="majorHAnsi"/>
          <w:b/>
          <w:color w:val="343434"/>
          <w:sz w:val="32"/>
          <w:szCs w:val="32"/>
          <w:lang w:val="en-AU"/>
        </w:rPr>
        <w:t>January 2023</w:t>
      </w:r>
    </w:p>
    <w:p w14:paraId="0BC2D6BE" w14:textId="77777777" w:rsidR="0043611F" w:rsidRPr="009300C3" w:rsidRDefault="0043611F" w:rsidP="0043611F">
      <w:pPr>
        <w:rPr>
          <w:rFonts w:asciiTheme="minorHAnsi" w:hAnsiTheme="minorHAnsi" w:cstheme="minorHAnsi"/>
          <w:b/>
          <w:color w:val="343434"/>
          <w:sz w:val="28"/>
          <w:szCs w:val="72"/>
          <w:lang w:val="en-AU"/>
        </w:rPr>
      </w:pPr>
    </w:p>
    <w:p w14:paraId="52A94CC7" w14:textId="77777777" w:rsidR="0043611F" w:rsidRPr="009300C3" w:rsidRDefault="0043611F" w:rsidP="0043611F">
      <w:pPr>
        <w:rPr>
          <w:rFonts w:asciiTheme="minorHAnsi" w:hAnsiTheme="minorHAnsi" w:cstheme="minorHAnsi"/>
          <w:b/>
          <w:color w:val="343434"/>
          <w:sz w:val="28"/>
          <w:szCs w:val="72"/>
          <w:lang w:val="en-AU"/>
        </w:rPr>
      </w:pPr>
    </w:p>
    <w:p w14:paraId="65F81F79" w14:textId="77777777" w:rsidR="0043611F" w:rsidRPr="009300C3" w:rsidRDefault="0043611F" w:rsidP="0043611F">
      <w:pPr>
        <w:rPr>
          <w:rFonts w:asciiTheme="minorHAnsi" w:hAnsiTheme="minorHAnsi" w:cstheme="minorHAnsi"/>
          <w:b/>
          <w:color w:val="343434"/>
          <w:sz w:val="28"/>
          <w:szCs w:val="72"/>
          <w:lang w:val="en-AU"/>
        </w:rPr>
      </w:pPr>
    </w:p>
    <w:p w14:paraId="6F4D9F2D" w14:textId="77777777" w:rsidR="0043611F" w:rsidRPr="009300C3" w:rsidRDefault="0043611F" w:rsidP="0043611F">
      <w:pPr>
        <w:rPr>
          <w:rFonts w:asciiTheme="minorHAnsi" w:hAnsiTheme="minorHAnsi" w:cstheme="minorHAnsi"/>
          <w:b/>
          <w:color w:val="343434"/>
          <w:sz w:val="28"/>
          <w:szCs w:val="72"/>
          <w:lang w:val="en-AU"/>
        </w:rPr>
      </w:pPr>
    </w:p>
    <w:p w14:paraId="2E1F864A" w14:textId="77777777" w:rsidR="0043611F" w:rsidRPr="009300C3" w:rsidRDefault="0043611F" w:rsidP="0043611F">
      <w:pPr>
        <w:rPr>
          <w:rFonts w:asciiTheme="minorHAnsi" w:hAnsiTheme="minorHAnsi" w:cstheme="minorHAnsi"/>
          <w:b/>
          <w:color w:val="343434"/>
          <w:sz w:val="28"/>
          <w:szCs w:val="72"/>
          <w:lang w:val="en-AU"/>
        </w:rPr>
      </w:pPr>
    </w:p>
    <w:p w14:paraId="730FC014" w14:textId="77777777" w:rsidR="0043611F" w:rsidRPr="009300C3" w:rsidRDefault="0043611F" w:rsidP="0043611F">
      <w:pPr>
        <w:rPr>
          <w:rFonts w:asciiTheme="minorHAnsi" w:hAnsiTheme="minorHAnsi" w:cstheme="minorHAnsi"/>
          <w:b/>
          <w:color w:val="343434"/>
          <w:sz w:val="28"/>
          <w:szCs w:val="72"/>
          <w:lang w:val="en-AU"/>
        </w:rPr>
      </w:pPr>
    </w:p>
    <w:p w14:paraId="781BE5CF" w14:textId="64BAD8AC" w:rsidR="0043611F" w:rsidRPr="009300C3" w:rsidRDefault="0043611F" w:rsidP="0043611F">
      <w:pPr>
        <w:rPr>
          <w:rFonts w:asciiTheme="minorHAnsi" w:hAnsiTheme="minorHAnsi" w:cstheme="minorHAnsi"/>
          <w:b/>
          <w:color w:val="343434"/>
          <w:sz w:val="28"/>
          <w:szCs w:val="72"/>
          <w:lang w:val="en-AU"/>
        </w:rPr>
        <w:sectPr w:rsidR="0043611F" w:rsidRPr="009300C3"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4688C687" w14:textId="701D1B7A" w:rsidR="0043611F" w:rsidRPr="009300C3" w:rsidRDefault="0043611F" w:rsidP="00C269B2">
      <w:pPr>
        <w:pStyle w:val="HeadingNew"/>
        <w:rPr>
          <w:lang w:val="en-AU"/>
        </w:rPr>
      </w:pPr>
      <w:r w:rsidRPr="009300C3">
        <w:rPr>
          <w:rStyle w:val="Heading2Char"/>
          <w:rFonts w:ascii="Calibri Light" w:eastAsia="Cambria" w:hAnsi="Calibri Light" w:cs="Times New Roman"/>
          <w:b/>
          <w:sz w:val="44"/>
          <w:szCs w:val="24"/>
          <w:lang w:eastAsia="en-US"/>
        </w:rPr>
        <w:lastRenderedPageBreak/>
        <w:t>Table of Contents</w:t>
      </w:r>
      <w:bookmarkEnd w:id="0"/>
      <w:bookmarkEnd w:id="1"/>
      <w:bookmarkEnd w:id="2"/>
    </w:p>
    <w:p w14:paraId="656E3038" w14:textId="197F190D" w:rsidR="0043611F" w:rsidRPr="009300C3" w:rsidRDefault="0043611F" w:rsidP="000A0A75">
      <w:pPr>
        <w:pStyle w:val="TOC2"/>
        <w:ind w:left="0"/>
        <w:rPr>
          <w:rFonts w:eastAsiaTheme="minorEastAsia"/>
          <w:noProof w:val="0"/>
          <w:kern w:val="0"/>
          <w:sz w:val="28"/>
          <w:szCs w:val="28"/>
          <w:u w:val="none"/>
          <w:lang w:eastAsia="en-AU"/>
        </w:rPr>
      </w:pPr>
      <w:r w:rsidRPr="009300C3">
        <w:rPr>
          <w:b/>
          <w:bCs/>
          <w:noProof w:val="0"/>
          <w:u w:val="none"/>
        </w:rPr>
        <w:fldChar w:fldCharType="begin"/>
      </w:r>
      <w:r w:rsidRPr="009300C3">
        <w:rPr>
          <w:b/>
          <w:bCs/>
          <w:noProof w:val="0"/>
          <w:u w:val="none"/>
        </w:rPr>
        <w:instrText xml:space="preserve"> TOC \o "1-3" \h \z \u </w:instrText>
      </w:r>
      <w:r w:rsidRPr="009300C3">
        <w:rPr>
          <w:b/>
          <w:bCs/>
          <w:noProof w:val="0"/>
          <w:u w:val="none"/>
        </w:rPr>
        <w:fldChar w:fldCharType="separate"/>
      </w:r>
      <w:hyperlink w:anchor="_Toc2206648" w:history="1">
        <w:r w:rsidRPr="009300C3">
          <w:rPr>
            <w:rStyle w:val="Hyperlink"/>
            <w:rFonts w:eastAsiaTheme="majorEastAsia"/>
            <w:noProof w:val="0"/>
            <w:sz w:val="28"/>
            <w:szCs w:val="28"/>
            <w:u w:val="none"/>
          </w:rPr>
          <w:t xml:space="preserve">Table of </w:t>
        </w:r>
        <w:r w:rsidR="008F0B7D">
          <w:rPr>
            <w:rStyle w:val="Hyperlink"/>
            <w:rFonts w:eastAsiaTheme="majorEastAsia"/>
            <w:noProof w:val="0"/>
            <w:sz w:val="28"/>
            <w:szCs w:val="28"/>
            <w:u w:val="none"/>
          </w:rPr>
          <w:t>c</w:t>
        </w:r>
        <w:r w:rsidRPr="009300C3">
          <w:rPr>
            <w:rStyle w:val="Hyperlink"/>
            <w:rFonts w:eastAsiaTheme="majorEastAsia"/>
            <w:noProof w:val="0"/>
            <w:sz w:val="28"/>
            <w:szCs w:val="28"/>
            <w:u w:val="none"/>
          </w:rPr>
          <w:t>ontents</w:t>
        </w:r>
        <w:r w:rsidRPr="009300C3">
          <w:rPr>
            <w:noProof w:val="0"/>
            <w:webHidden/>
            <w:sz w:val="28"/>
            <w:szCs w:val="28"/>
            <w:u w:val="none"/>
          </w:rPr>
          <w:tab/>
        </w:r>
        <w:r w:rsidRPr="009300C3">
          <w:rPr>
            <w:noProof w:val="0"/>
            <w:webHidden/>
            <w:sz w:val="28"/>
            <w:szCs w:val="28"/>
            <w:u w:val="none"/>
          </w:rPr>
          <w:fldChar w:fldCharType="begin"/>
        </w:r>
        <w:r w:rsidRPr="009300C3">
          <w:rPr>
            <w:noProof w:val="0"/>
            <w:webHidden/>
            <w:sz w:val="28"/>
            <w:szCs w:val="28"/>
            <w:u w:val="none"/>
          </w:rPr>
          <w:instrText xml:space="preserve"> PAGEREF _Toc2206648 \h </w:instrText>
        </w:r>
        <w:r w:rsidRPr="009300C3">
          <w:rPr>
            <w:noProof w:val="0"/>
            <w:webHidden/>
            <w:sz w:val="28"/>
            <w:szCs w:val="28"/>
            <w:u w:val="none"/>
          </w:rPr>
        </w:r>
        <w:r w:rsidRPr="009300C3">
          <w:rPr>
            <w:noProof w:val="0"/>
            <w:webHidden/>
            <w:sz w:val="28"/>
            <w:szCs w:val="28"/>
            <w:u w:val="none"/>
          </w:rPr>
          <w:fldChar w:fldCharType="separate"/>
        </w:r>
        <w:r w:rsidR="0061138F">
          <w:rPr>
            <w:webHidden/>
            <w:sz w:val="28"/>
            <w:szCs w:val="28"/>
            <w:u w:val="none"/>
          </w:rPr>
          <w:t>1</w:t>
        </w:r>
        <w:r w:rsidRPr="009300C3">
          <w:rPr>
            <w:noProof w:val="0"/>
            <w:webHidden/>
            <w:sz w:val="28"/>
            <w:szCs w:val="28"/>
            <w:u w:val="none"/>
          </w:rPr>
          <w:fldChar w:fldCharType="end"/>
        </w:r>
      </w:hyperlink>
    </w:p>
    <w:p w14:paraId="4F3CCF4D" w14:textId="3CE184C7" w:rsidR="0043611F" w:rsidRPr="009300C3" w:rsidRDefault="00000000" w:rsidP="000A0A75">
      <w:pPr>
        <w:pStyle w:val="TOC2"/>
        <w:ind w:left="0"/>
        <w:rPr>
          <w:rFonts w:eastAsiaTheme="minorEastAsia"/>
          <w:noProof w:val="0"/>
          <w:kern w:val="0"/>
          <w:sz w:val="28"/>
          <w:szCs w:val="28"/>
          <w:u w:val="none"/>
          <w:lang w:eastAsia="en-AU"/>
        </w:rPr>
      </w:pPr>
      <w:hyperlink w:anchor="_Toc2206649" w:history="1">
        <w:r w:rsidR="0043611F" w:rsidRPr="009300C3">
          <w:rPr>
            <w:rStyle w:val="Hyperlink"/>
            <w:noProof w:val="0"/>
            <w:sz w:val="28"/>
            <w:szCs w:val="28"/>
            <w:u w:val="none"/>
          </w:rPr>
          <w:t>About AFDO</w:t>
        </w:r>
        <w:r w:rsidR="0043611F" w:rsidRPr="009300C3">
          <w:rPr>
            <w:noProof w:val="0"/>
            <w:webHidden/>
            <w:sz w:val="28"/>
            <w:szCs w:val="28"/>
            <w:u w:val="none"/>
          </w:rPr>
          <w:tab/>
        </w:r>
        <w:r w:rsidR="0043611F" w:rsidRPr="009300C3">
          <w:rPr>
            <w:noProof w:val="0"/>
            <w:webHidden/>
            <w:sz w:val="28"/>
            <w:szCs w:val="28"/>
            <w:u w:val="none"/>
          </w:rPr>
          <w:fldChar w:fldCharType="begin"/>
        </w:r>
        <w:r w:rsidR="0043611F" w:rsidRPr="009300C3">
          <w:rPr>
            <w:noProof w:val="0"/>
            <w:webHidden/>
            <w:sz w:val="28"/>
            <w:szCs w:val="28"/>
            <w:u w:val="none"/>
          </w:rPr>
          <w:instrText xml:space="preserve"> PAGEREF _Toc2206649 \h </w:instrText>
        </w:r>
        <w:r w:rsidR="0043611F" w:rsidRPr="009300C3">
          <w:rPr>
            <w:noProof w:val="0"/>
            <w:webHidden/>
            <w:sz w:val="28"/>
            <w:szCs w:val="28"/>
            <w:u w:val="none"/>
          </w:rPr>
        </w:r>
        <w:r w:rsidR="0043611F" w:rsidRPr="009300C3">
          <w:rPr>
            <w:noProof w:val="0"/>
            <w:webHidden/>
            <w:sz w:val="28"/>
            <w:szCs w:val="28"/>
            <w:u w:val="none"/>
          </w:rPr>
          <w:fldChar w:fldCharType="separate"/>
        </w:r>
        <w:r w:rsidR="0061138F">
          <w:rPr>
            <w:webHidden/>
            <w:sz w:val="28"/>
            <w:szCs w:val="28"/>
            <w:u w:val="none"/>
          </w:rPr>
          <w:t>3</w:t>
        </w:r>
        <w:r w:rsidR="0043611F" w:rsidRPr="009300C3">
          <w:rPr>
            <w:noProof w:val="0"/>
            <w:webHidden/>
            <w:sz w:val="28"/>
            <w:szCs w:val="28"/>
            <w:u w:val="none"/>
          </w:rPr>
          <w:fldChar w:fldCharType="end"/>
        </w:r>
      </w:hyperlink>
    </w:p>
    <w:p w14:paraId="6953812D" w14:textId="7F51417F" w:rsidR="00990EA4" w:rsidRDefault="00C269B2" w:rsidP="005840F5">
      <w:pPr>
        <w:pStyle w:val="TOC2"/>
        <w:ind w:left="0"/>
        <w:rPr>
          <w:noProof w:val="0"/>
          <w:sz w:val="28"/>
          <w:szCs w:val="28"/>
          <w:u w:val="none"/>
        </w:rPr>
      </w:pPr>
      <w:r w:rsidRPr="009300C3">
        <w:rPr>
          <w:sz w:val="28"/>
          <w:szCs w:val="28"/>
          <w:u w:val="none"/>
        </w:rPr>
        <w:t xml:space="preserve">Our </w:t>
      </w:r>
      <w:r w:rsidR="008F0B7D">
        <w:rPr>
          <w:sz w:val="28"/>
          <w:szCs w:val="28"/>
          <w:u w:val="none"/>
        </w:rPr>
        <w:t>m</w:t>
      </w:r>
      <w:r w:rsidRPr="009300C3">
        <w:rPr>
          <w:sz w:val="28"/>
          <w:szCs w:val="28"/>
          <w:u w:val="none"/>
        </w:rPr>
        <w:t>embers</w:t>
      </w:r>
      <w:r w:rsidR="00C41DAE" w:rsidRPr="009300C3">
        <w:rPr>
          <w:sz w:val="28"/>
          <w:szCs w:val="28"/>
          <w:u w:val="none"/>
        </w:rPr>
        <w:tab/>
      </w:r>
      <w:r w:rsidR="000A0A75" w:rsidRPr="009300C3">
        <w:rPr>
          <w:sz w:val="28"/>
          <w:szCs w:val="28"/>
          <w:u w:val="none"/>
        </w:rPr>
        <w:t>4</w:t>
      </w:r>
      <w:r w:rsidRPr="009300C3">
        <w:rPr>
          <w:sz w:val="28"/>
          <w:szCs w:val="28"/>
          <w:u w:val="none"/>
        </w:rPr>
        <w:br/>
      </w:r>
      <w:hyperlink w:anchor="_Toc2206650" w:history="1">
        <w:r w:rsidR="0043611F" w:rsidRPr="009300C3">
          <w:rPr>
            <w:rStyle w:val="Hyperlink"/>
            <w:noProof w:val="0"/>
            <w:sz w:val="28"/>
            <w:szCs w:val="28"/>
            <w:u w:val="none"/>
          </w:rPr>
          <w:t>Acknowledgements</w:t>
        </w:r>
        <w:r w:rsidR="0043611F" w:rsidRPr="009300C3">
          <w:rPr>
            <w:noProof w:val="0"/>
            <w:webHidden/>
            <w:sz w:val="28"/>
            <w:szCs w:val="28"/>
            <w:u w:val="none"/>
          </w:rPr>
          <w:tab/>
          <w:t>6</w:t>
        </w:r>
      </w:hyperlink>
      <w:r w:rsidR="002C7563" w:rsidRPr="009300C3">
        <w:rPr>
          <w:noProof w:val="0"/>
          <w:sz w:val="28"/>
          <w:szCs w:val="28"/>
          <w:u w:val="none"/>
        </w:rPr>
        <w:br/>
        <w:t>Introductory comments</w:t>
      </w:r>
      <w:r w:rsidR="002C7563" w:rsidRPr="009300C3">
        <w:rPr>
          <w:noProof w:val="0"/>
          <w:sz w:val="28"/>
          <w:szCs w:val="28"/>
          <w:u w:val="none"/>
        </w:rPr>
        <w:tab/>
      </w:r>
      <w:r w:rsidR="009B2AE5" w:rsidRPr="009300C3">
        <w:rPr>
          <w:noProof w:val="0"/>
          <w:sz w:val="28"/>
          <w:szCs w:val="28"/>
          <w:u w:val="none"/>
        </w:rPr>
        <w:t>7</w:t>
      </w:r>
      <w:r w:rsidR="00B24052" w:rsidRPr="009300C3">
        <w:rPr>
          <w:noProof w:val="0"/>
          <w:sz w:val="28"/>
          <w:szCs w:val="28"/>
          <w:u w:val="none"/>
        </w:rPr>
        <w:br/>
        <w:t>Summary of recommendations</w:t>
      </w:r>
      <w:r w:rsidR="00B24052" w:rsidRPr="009300C3">
        <w:rPr>
          <w:noProof w:val="0"/>
          <w:sz w:val="28"/>
          <w:szCs w:val="28"/>
          <w:u w:val="none"/>
        </w:rPr>
        <w:tab/>
        <w:t>8</w:t>
      </w:r>
      <w:r w:rsidR="007F3D27">
        <w:rPr>
          <w:noProof w:val="0"/>
          <w:sz w:val="28"/>
          <w:szCs w:val="28"/>
          <w:u w:val="none"/>
        </w:rPr>
        <w:br/>
        <w:t>Considering how the Action Plan will intersect with Australia's Disability Strategy 2021-31</w:t>
      </w:r>
      <w:r w:rsidR="007F3D27">
        <w:rPr>
          <w:noProof w:val="0"/>
          <w:sz w:val="28"/>
          <w:szCs w:val="28"/>
          <w:u w:val="none"/>
        </w:rPr>
        <w:tab/>
      </w:r>
      <w:r w:rsidR="008F0B7D">
        <w:rPr>
          <w:noProof w:val="0"/>
          <w:sz w:val="28"/>
          <w:szCs w:val="28"/>
          <w:u w:val="none"/>
        </w:rPr>
        <w:t>10</w:t>
      </w:r>
    </w:p>
    <w:p w14:paraId="7E8EB6C0" w14:textId="2D09C910" w:rsidR="00990EA4" w:rsidRDefault="00990EA4" w:rsidP="005840F5">
      <w:pPr>
        <w:pStyle w:val="TOC2"/>
        <w:ind w:left="0"/>
        <w:rPr>
          <w:noProof w:val="0"/>
          <w:sz w:val="28"/>
          <w:szCs w:val="28"/>
          <w:u w:val="none"/>
        </w:rPr>
      </w:pPr>
      <w:r>
        <w:rPr>
          <w:noProof w:val="0"/>
          <w:sz w:val="28"/>
          <w:szCs w:val="28"/>
          <w:u w:val="none"/>
        </w:rPr>
        <w:t>Making dementia care and prevention more inclusive and accessible for people with disability</w:t>
      </w:r>
      <w:r>
        <w:rPr>
          <w:noProof w:val="0"/>
          <w:sz w:val="28"/>
          <w:szCs w:val="28"/>
          <w:u w:val="none"/>
        </w:rPr>
        <w:tab/>
      </w:r>
      <w:r w:rsidR="008F0B7D">
        <w:rPr>
          <w:noProof w:val="0"/>
          <w:sz w:val="28"/>
          <w:szCs w:val="28"/>
          <w:u w:val="none"/>
        </w:rPr>
        <w:t>11</w:t>
      </w:r>
    </w:p>
    <w:p w14:paraId="4D750610" w14:textId="3F90B2AD" w:rsidR="00990EA4" w:rsidRDefault="00990EA4" w:rsidP="005840F5">
      <w:pPr>
        <w:pStyle w:val="TOC2"/>
        <w:ind w:left="0"/>
        <w:rPr>
          <w:noProof w:val="0"/>
          <w:sz w:val="28"/>
          <w:szCs w:val="28"/>
          <w:u w:val="none"/>
        </w:rPr>
      </w:pPr>
      <w:r>
        <w:rPr>
          <w:noProof w:val="0"/>
          <w:sz w:val="28"/>
          <w:szCs w:val="28"/>
          <w:u w:val="none"/>
        </w:rPr>
        <w:t>Improving outcomes for people with Down Syndrome</w:t>
      </w:r>
      <w:r>
        <w:rPr>
          <w:noProof w:val="0"/>
          <w:sz w:val="28"/>
          <w:szCs w:val="28"/>
          <w:u w:val="none"/>
        </w:rPr>
        <w:tab/>
      </w:r>
      <w:r w:rsidR="008F0B7D">
        <w:rPr>
          <w:noProof w:val="0"/>
          <w:sz w:val="28"/>
          <w:szCs w:val="28"/>
          <w:u w:val="none"/>
        </w:rPr>
        <w:t>14</w:t>
      </w:r>
    </w:p>
    <w:p w14:paraId="5EF9B920" w14:textId="2014EC9D" w:rsidR="00990EA4" w:rsidRDefault="00990EA4" w:rsidP="005840F5">
      <w:pPr>
        <w:pStyle w:val="TOC2"/>
        <w:ind w:left="0"/>
        <w:rPr>
          <w:noProof w:val="0"/>
          <w:sz w:val="28"/>
          <w:szCs w:val="28"/>
          <w:u w:val="none"/>
        </w:rPr>
      </w:pPr>
      <w:r>
        <w:rPr>
          <w:noProof w:val="0"/>
          <w:sz w:val="28"/>
          <w:szCs w:val="28"/>
          <w:u w:val="none"/>
        </w:rPr>
        <w:t>Adequately addressing the link between brain injury and dementia</w:t>
      </w:r>
      <w:r>
        <w:rPr>
          <w:noProof w:val="0"/>
          <w:sz w:val="28"/>
          <w:szCs w:val="28"/>
          <w:u w:val="none"/>
        </w:rPr>
        <w:tab/>
      </w:r>
      <w:r w:rsidR="008F0B7D">
        <w:rPr>
          <w:noProof w:val="0"/>
          <w:sz w:val="28"/>
          <w:szCs w:val="28"/>
          <w:u w:val="none"/>
        </w:rPr>
        <w:t>15</w:t>
      </w:r>
    </w:p>
    <w:p w14:paraId="3A4D78D5" w14:textId="0F244A8A" w:rsidR="00990EA4" w:rsidRDefault="00990EA4" w:rsidP="005840F5">
      <w:pPr>
        <w:pStyle w:val="TOC2"/>
        <w:ind w:left="0"/>
        <w:rPr>
          <w:noProof w:val="0"/>
          <w:sz w:val="28"/>
          <w:szCs w:val="28"/>
          <w:u w:val="none"/>
        </w:rPr>
      </w:pPr>
      <w:r>
        <w:rPr>
          <w:noProof w:val="0"/>
          <w:sz w:val="28"/>
          <w:szCs w:val="28"/>
          <w:u w:val="none"/>
        </w:rPr>
        <w:t>Prioritising supported decision-making under the new Action Plan</w:t>
      </w:r>
      <w:r>
        <w:rPr>
          <w:noProof w:val="0"/>
          <w:sz w:val="28"/>
          <w:szCs w:val="28"/>
          <w:u w:val="none"/>
        </w:rPr>
        <w:tab/>
      </w:r>
      <w:r w:rsidR="008F0B7D">
        <w:rPr>
          <w:noProof w:val="0"/>
          <w:sz w:val="28"/>
          <w:szCs w:val="28"/>
          <w:u w:val="none"/>
        </w:rPr>
        <w:t>16</w:t>
      </w:r>
    </w:p>
    <w:p w14:paraId="301C277F" w14:textId="28EF51E2" w:rsidR="00990EA4" w:rsidRDefault="00990EA4" w:rsidP="005840F5">
      <w:pPr>
        <w:pStyle w:val="TOC2"/>
        <w:ind w:left="0"/>
        <w:rPr>
          <w:noProof w:val="0"/>
          <w:sz w:val="28"/>
          <w:szCs w:val="28"/>
          <w:u w:val="none"/>
        </w:rPr>
      </w:pPr>
      <w:r>
        <w:rPr>
          <w:noProof w:val="0"/>
          <w:sz w:val="28"/>
          <w:szCs w:val="28"/>
          <w:u w:val="none"/>
        </w:rPr>
        <w:t>Safeguarding people with dementia from violence, abuse, and neglect</w:t>
      </w:r>
      <w:r>
        <w:rPr>
          <w:noProof w:val="0"/>
          <w:sz w:val="28"/>
          <w:szCs w:val="28"/>
          <w:u w:val="none"/>
        </w:rPr>
        <w:tab/>
      </w:r>
      <w:r w:rsidR="008F0B7D">
        <w:rPr>
          <w:noProof w:val="0"/>
          <w:sz w:val="28"/>
          <w:szCs w:val="28"/>
          <w:u w:val="none"/>
        </w:rPr>
        <w:t>18</w:t>
      </w:r>
    </w:p>
    <w:p w14:paraId="0081C3E0" w14:textId="511AAEB4" w:rsidR="005840F5" w:rsidRPr="009300C3" w:rsidRDefault="00990EA4" w:rsidP="005840F5">
      <w:pPr>
        <w:pStyle w:val="TOC2"/>
        <w:ind w:left="0"/>
        <w:rPr>
          <w:noProof w:val="0"/>
          <w:u w:val="none"/>
        </w:rPr>
      </w:pPr>
      <w:r>
        <w:rPr>
          <w:noProof w:val="0"/>
          <w:sz w:val="28"/>
          <w:szCs w:val="28"/>
          <w:u w:val="none"/>
        </w:rPr>
        <w:t>Facilitating access to assistive technology to promote improved quality of life for people with dementia</w:t>
      </w:r>
      <w:r>
        <w:rPr>
          <w:noProof w:val="0"/>
          <w:sz w:val="28"/>
          <w:szCs w:val="28"/>
          <w:u w:val="none"/>
        </w:rPr>
        <w:tab/>
      </w:r>
      <w:r w:rsidR="008F0B7D">
        <w:rPr>
          <w:noProof w:val="0"/>
          <w:sz w:val="28"/>
          <w:szCs w:val="28"/>
          <w:u w:val="none"/>
        </w:rPr>
        <w:t>19</w:t>
      </w:r>
      <w:r>
        <w:rPr>
          <w:noProof w:val="0"/>
          <w:sz w:val="28"/>
          <w:szCs w:val="28"/>
          <w:u w:val="none"/>
        </w:rPr>
        <w:br/>
        <w:t>Concluding comments</w:t>
      </w:r>
      <w:r>
        <w:rPr>
          <w:noProof w:val="0"/>
          <w:sz w:val="28"/>
          <w:szCs w:val="28"/>
          <w:u w:val="none"/>
        </w:rPr>
        <w:tab/>
      </w:r>
      <w:r w:rsidR="008F0B7D">
        <w:rPr>
          <w:noProof w:val="0"/>
          <w:sz w:val="28"/>
          <w:szCs w:val="28"/>
          <w:u w:val="none"/>
        </w:rPr>
        <w:t>22</w:t>
      </w:r>
      <w:r w:rsidR="00B06CBC" w:rsidRPr="009300C3">
        <w:rPr>
          <w:noProof w:val="0"/>
          <w:sz w:val="28"/>
          <w:szCs w:val="28"/>
          <w:u w:val="none"/>
        </w:rPr>
        <w:br/>
      </w:r>
      <w:r w:rsidR="000038D1" w:rsidRPr="009300C3">
        <w:rPr>
          <w:noProof w:val="0"/>
          <w:sz w:val="28"/>
          <w:szCs w:val="28"/>
          <w:u w:val="none"/>
        </w:rPr>
        <w:br/>
      </w:r>
    </w:p>
    <w:p w14:paraId="0A3BA90F" w14:textId="2BE56A30" w:rsidR="0043611F" w:rsidRPr="009300C3" w:rsidRDefault="0043611F" w:rsidP="000A0A75">
      <w:pPr>
        <w:pStyle w:val="TOC2"/>
        <w:ind w:left="0"/>
        <w:rPr>
          <w:noProof w:val="0"/>
          <w:u w:val="none"/>
        </w:rPr>
      </w:pPr>
      <w:r w:rsidRPr="009300C3">
        <w:rPr>
          <w:noProof w:val="0"/>
          <w:u w:val="none"/>
        </w:rPr>
        <w:br/>
      </w:r>
    </w:p>
    <w:p w14:paraId="2DD14F62" w14:textId="5E564DB6" w:rsidR="0043611F" w:rsidRPr="009300C3" w:rsidRDefault="0043611F" w:rsidP="005318B2">
      <w:pPr>
        <w:pStyle w:val="TOC2"/>
        <w:rPr>
          <w:noProof w:val="0"/>
          <w:u w:val="none"/>
        </w:rPr>
      </w:pPr>
    </w:p>
    <w:p w14:paraId="51DF3F83" w14:textId="77777777" w:rsidR="0043611F" w:rsidRPr="009300C3" w:rsidRDefault="0043611F" w:rsidP="0043611F">
      <w:pPr>
        <w:rPr>
          <w:rFonts w:asciiTheme="minorHAnsi" w:hAnsiTheme="minorHAnsi" w:cstheme="minorHAnsi"/>
          <w:lang w:val="en-AU"/>
        </w:rPr>
      </w:pPr>
    </w:p>
    <w:p w14:paraId="61C9905F" w14:textId="5F743AFC" w:rsidR="0043611F" w:rsidRPr="009300C3" w:rsidRDefault="0043611F" w:rsidP="0043611F">
      <w:pPr>
        <w:pStyle w:val="Heading2"/>
        <w:rPr>
          <w:rFonts w:asciiTheme="minorHAnsi" w:eastAsia="Cambria" w:hAnsiTheme="minorHAnsi" w:cstheme="minorHAnsi"/>
          <w:b w:val="0"/>
          <w:bCs/>
          <w:smallCaps/>
          <w:sz w:val="24"/>
          <w:szCs w:val="24"/>
        </w:rPr>
      </w:pPr>
      <w:r w:rsidRPr="009300C3">
        <w:rPr>
          <w:rFonts w:asciiTheme="minorHAnsi" w:eastAsia="Cambria" w:hAnsiTheme="minorHAnsi" w:cstheme="minorHAnsi"/>
          <w:b w:val="0"/>
          <w:bCs/>
          <w:smallCaps/>
          <w:sz w:val="24"/>
          <w:szCs w:val="24"/>
        </w:rPr>
        <w:fldChar w:fldCharType="end"/>
      </w:r>
      <w:bookmarkStart w:id="3" w:name="_Toc254013"/>
      <w:bookmarkStart w:id="4" w:name="_Toc2206649"/>
    </w:p>
    <w:p w14:paraId="0907AFEA" w14:textId="38D0E246" w:rsidR="0043611F" w:rsidRPr="009300C3" w:rsidRDefault="0043611F" w:rsidP="0043611F">
      <w:pPr>
        <w:rPr>
          <w:lang w:val="en-AU" w:eastAsia="zh-CN"/>
        </w:rPr>
      </w:pPr>
    </w:p>
    <w:p w14:paraId="40855758" w14:textId="7C00F3CA" w:rsidR="0043611F" w:rsidRPr="009300C3" w:rsidRDefault="0043611F" w:rsidP="0043611F">
      <w:pPr>
        <w:rPr>
          <w:lang w:val="en-AU" w:eastAsia="zh-CN"/>
        </w:rPr>
      </w:pPr>
    </w:p>
    <w:p w14:paraId="4B95755B" w14:textId="3FC41055" w:rsidR="0043611F" w:rsidRPr="009300C3" w:rsidRDefault="0043611F" w:rsidP="0043611F">
      <w:pPr>
        <w:rPr>
          <w:lang w:val="en-AU" w:eastAsia="zh-CN"/>
        </w:rPr>
      </w:pPr>
    </w:p>
    <w:p w14:paraId="5FB35269" w14:textId="7D6D758F" w:rsidR="0043611F" w:rsidRPr="009300C3" w:rsidRDefault="0043611F" w:rsidP="0043611F">
      <w:pPr>
        <w:rPr>
          <w:lang w:val="en-AU" w:eastAsia="zh-CN"/>
        </w:rPr>
      </w:pPr>
    </w:p>
    <w:p w14:paraId="6B43F2F8" w14:textId="28CD1665" w:rsidR="0043611F" w:rsidRPr="009300C3" w:rsidRDefault="0043611F" w:rsidP="0043611F">
      <w:pPr>
        <w:rPr>
          <w:lang w:val="en-AU" w:eastAsia="zh-CN"/>
        </w:rPr>
      </w:pPr>
    </w:p>
    <w:p w14:paraId="5EE0F5BC" w14:textId="77400D5A" w:rsidR="0043611F" w:rsidRPr="009300C3" w:rsidRDefault="0043611F" w:rsidP="0043611F">
      <w:pPr>
        <w:rPr>
          <w:lang w:val="en-AU" w:eastAsia="zh-CN"/>
        </w:rPr>
      </w:pPr>
    </w:p>
    <w:p w14:paraId="637A9025" w14:textId="77777777" w:rsidR="0043611F" w:rsidRPr="009300C3" w:rsidRDefault="0043611F" w:rsidP="0043611F">
      <w:pPr>
        <w:rPr>
          <w:lang w:val="en-AU"/>
        </w:rPr>
      </w:pPr>
    </w:p>
    <w:p w14:paraId="7C94676B" w14:textId="3A6B5505" w:rsidR="0043611F" w:rsidRPr="009300C3" w:rsidRDefault="0043611F" w:rsidP="008C4C84">
      <w:pPr>
        <w:pStyle w:val="HeadingNew"/>
        <w:rPr>
          <w:lang w:val="en-AU"/>
        </w:rPr>
      </w:pPr>
      <w:r w:rsidRPr="009300C3">
        <w:rPr>
          <w:lang w:val="en-AU"/>
        </w:rPr>
        <w:lastRenderedPageBreak/>
        <w:t>About AFDO</w:t>
      </w:r>
      <w:bookmarkEnd w:id="3"/>
      <w:bookmarkEnd w:id="4"/>
      <w:r w:rsidRPr="009300C3">
        <w:rPr>
          <w:lang w:val="en-AU"/>
        </w:rPr>
        <w:t xml:space="preserve"> </w:t>
      </w:r>
    </w:p>
    <w:p w14:paraId="6450641D" w14:textId="59F00B9A"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b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B1D8A44"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Our member organisations represent disability specific communities with a total reach of over 3.8 million Australians.</w:t>
      </w:r>
    </w:p>
    <w:p w14:paraId="374E5BD3"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542570B6"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B61E5C3" w14:textId="77777777" w:rsidR="0043611F" w:rsidRPr="009300C3" w:rsidRDefault="0043611F" w:rsidP="0043611F">
      <w:pPr>
        <w:rPr>
          <w:rFonts w:asciiTheme="majorHAnsi" w:hAnsiTheme="majorHAnsi" w:cstheme="majorHAnsi"/>
          <w:b/>
          <w:color w:val="00767F"/>
          <w:sz w:val="28"/>
          <w:szCs w:val="28"/>
          <w:lang w:val="en-AU"/>
        </w:rPr>
      </w:pPr>
      <w:r w:rsidRPr="009300C3">
        <w:rPr>
          <w:rFonts w:asciiTheme="majorHAnsi" w:hAnsiTheme="majorHAnsi" w:cstheme="majorHAnsi"/>
          <w:b/>
          <w:color w:val="00767F"/>
          <w:sz w:val="28"/>
          <w:szCs w:val="28"/>
          <w:lang w:val="en-AU"/>
        </w:rPr>
        <w:t>Our vision</w:t>
      </w:r>
    </w:p>
    <w:p w14:paraId="35B8360B"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That all people with disabilities must be involved equally in all aspects of social, economic, political and cultural life.</w:t>
      </w:r>
    </w:p>
    <w:p w14:paraId="76FE136B" w14:textId="77777777" w:rsidR="0043611F" w:rsidRPr="009300C3" w:rsidRDefault="0043611F" w:rsidP="0043611F">
      <w:pPr>
        <w:rPr>
          <w:rFonts w:asciiTheme="majorHAnsi" w:hAnsiTheme="majorHAnsi" w:cstheme="majorHAnsi"/>
          <w:b/>
          <w:color w:val="00767F"/>
          <w:sz w:val="28"/>
          <w:szCs w:val="28"/>
          <w:lang w:val="en-AU"/>
        </w:rPr>
      </w:pPr>
      <w:r w:rsidRPr="009300C3">
        <w:rPr>
          <w:rFonts w:asciiTheme="majorHAnsi" w:hAnsiTheme="majorHAnsi" w:cstheme="majorHAnsi"/>
          <w:b/>
          <w:color w:val="00767F"/>
          <w:sz w:val="28"/>
          <w:szCs w:val="28"/>
          <w:lang w:val="en-AU"/>
        </w:rPr>
        <w:t>Our mission</w:t>
      </w:r>
    </w:p>
    <w:p w14:paraId="0C3BDE65"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6FCF792B" w14:textId="77777777" w:rsidR="0043611F" w:rsidRPr="009300C3" w:rsidRDefault="0043611F" w:rsidP="0043611F">
      <w:pPr>
        <w:rPr>
          <w:rFonts w:asciiTheme="majorHAnsi" w:hAnsiTheme="majorHAnsi" w:cstheme="majorHAnsi"/>
          <w:b/>
          <w:color w:val="00767F"/>
          <w:sz w:val="28"/>
          <w:szCs w:val="28"/>
          <w:lang w:val="en-AU"/>
        </w:rPr>
      </w:pPr>
      <w:r w:rsidRPr="009300C3">
        <w:rPr>
          <w:rFonts w:asciiTheme="majorHAnsi" w:hAnsiTheme="majorHAnsi" w:cstheme="majorHAnsi"/>
          <w:b/>
          <w:color w:val="00767F"/>
          <w:sz w:val="28"/>
          <w:szCs w:val="28"/>
          <w:lang w:val="en-AU"/>
        </w:rPr>
        <w:t>Our strategic objectives</w:t>
      </w:r>
    </w:p>
    <w:p w14:paraId="05685478"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To represent the united voice of our members and people with disability in national initiatives and policy debate.</w:t>
      </w:r>
    </w:p>
    <w:p w14:paraId="0E7D3E2A"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To enhance the profile, respect and reputation for AFDO through our members.</w:t>
      </w:r>
    </w:p>
    <w:p w14:paraId="75C67811"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To build the capacity and sustainability of AFDO and our members.</w:t>
      </w:r>
    </w:p>
    <w:p w14:paraId="59F927D3" w14:textId="77777777" w:rsidR="0043611F" w:rsidRPr="009300C3" w:rsidRDefault="0043611F" w:rsidP="0043611F">
      <w:pPr>
        <w:rPr>
          <w:rFonts w:asciiTheme="minorHAnsi" w:hAnsiTheme="minorHAnsi" w:cstheme="minorHAnsi"/>
          <w:lang w:val="en-AU"/>
        </w:rPr>
      </w:pPr>
      <w:r w:rsidRPr="009300C3">
        <w:rPr>
          <w:rFonts w:asciiTheme="minorHAnsi" w:hAnsiTheme="minorHAnsi" w:cstheme="minorHAnsi"/>
          <w:lang w:val="en-AU"/>
        </w:rPr>
        <w:t>To foster strong collaboration and engagement between our members and stakeholders.</w:t>
      </w:r>
    </w:p>
    <w:p w14:paraId="7F62C272" w14:textId="77777777" w:rsidR="005318B2" w:rsidRPr="009300C3" w:rsidRDefault="0043611F" w:rsidP="005318B2">
      <w:pPr>
        <w:rPr>
          <w:rFonts w:asciiTheme="minorHAnsi" w:hAnsiTheme="minorHAnsi" w:cstheme="minorHAnsi"/>
          <w:lang w:val="en-AU"/>
        </w:rPr>
      </w:pPr>
      <w:r w:rsidRPr="009300C3">
        <w:rPr>
          <w:rFonts w:asciiTheme="minorHAnsi" w:hAnsiTheme="minorHAnsi" w:cstheme="minorHAnsi"/>
          <w:lang w:val="en-AU"/>
        </w:rPr>
        <w:t>To enhance AFDO's connection and influence in international disability initiatives, particularly in the Asia Pacific region, through policy, advocacy and engagement</w:t>
      </w:r>
    </w:p>
    <w:p w14:paraId="4A668CB6" w14:textId="597883BD" w:rsidR="0043611F" w:rsidRPr="009300C3" w:rsidRDefault="0043611F" w:rsidP="008C4C84">
      <w:pPr>
        <w:pStyle w:val="HeadingNew"/>
        <w:rPr>
          <w:rFonts w:asciiTheme="minorHAnsi" w:hAnsiTheme="minorHAnsi" w:cstheme="minorHAnsi"/>
          <w:color w:val="auto"/>
          <w:sz w:val="24"/>
          <w:lang w:val="en-AU"/>
        </w:rPr>
      </w:pPr>
      <w:r w:rsidRPr="009300C3">
        <w:rPr>
          <w:lang w:val="en-AU"/>
        </w:rPr>
        <w:lastRenderedPageBreak/>
        <w:t>Our members</w:t>
      </w:r>
    </w:p>
    <w:p w14:paraId="5B310C11" w14:textId="60CC8C2C" w:rsidR="0043611F" w:rsidRPr="009300C3" w:rsidRDefault="0043611F" w:rsidP="0043611F">
      <w:pPr>
        <w:spacing w:after="0" w:line="240" w:lineRule="auto"/>
        <w:rPr>
          <w:rFonts w:asciiTheme="minorHAnsi" w:hAnsiTheme="minorHAnsi" w:cstheme="minorHAnsi"/>
          <w:b/>
          <w:lang w:val="en-AU"/>
        </w:rPr>
      </w:pPr>
      <w:r w:rsidRPr="009300C3">
        <w:rPr>
          <w:rFonts w:asciiTheme="minorHAnsi" w:hAnsiTheme="minorHAnsi" w:cstheme="minorHAnsi"/>
          <w:b/>
          <w:lang w:val="en-AU"/>
        </w:rPr>
        <w:br/>
        <w:t>Full members:</w:t>
      </w:r>
    </w:p>
    <w:p w14:paraId="72DC8649" w14:textId="31BBB0E2" w:rsidR="00B65E4B" w:rsidRPr="009300C3" w:rsidRDefault="00B65E4B" w:rsidP="00B95C54">
      <w:pPr>
        <w:pStyle w:val="ListParagraph"/>
        <w:numPr>
          <w:ilvl w:val="0"/>
          <w:numId w:val="2"/>
        </w:numPr>
        <w:spacing w:before="0" w:after="0" w:line="240" w:lineRule="auto"/>
        <w:rPr>
          <w:rFonts w:asciiTheme="minorHAnsi" w:hAnsiTheme="minorHAnsi" w:cstheme="minorHAnsi"/>
          <w:lang w:val="en-AU"/>
        </w:rPr>
      </w:pPr>
      <w:r w:rsidRPr="009300C3">
        <w:rPr>
          <w:rFonts w:asciiTheme="minorHAnsi" w:hAnsiTheme="minorHAnsi" w:cstheme="minorHAnsi"/>
          <w:lang w:val="en-AU"/>
        </w:rPr>
        <w:t>Advocacy for Inclusion</w:t>
      </w:r>
    </w:p>
    <w:p w14:paraId="03A8BBE0" w14:textId="372DCB49" w:rsidR="0043611F" w:rsidRPr="009300C3" w:rsidRDefault="0043611F" w:rsidP="00B95C54">
      <w:pPr>
        <w:pStyle w:val="ListParagraph"/>
        <w:numPr>
          <w:ilvl w:val="0"/>
          <w:numId w:val="2"/>
        </w:numPr>
        <w:spacing w:before="0" w:after="0" w:line="240" w:lineRule="auto"/>
        <w:rPr>
          <w:rFonts w:asciiTheme="minorHAnsi" w:hAnsiTheme="minorHAnsi" w:cstheme="minorHAnsi"/>
          <w:lang w:val="en-AU"/>
        </w:rPr>
      </w:pPr>
      <w:r w:rsidRPr="009300C3">
        <w:rPr>
          <w:rFonts w:asciiTheme="minorHAnsi" w:hAnsiTheme="minorHAnsi" w:cstheme="minorHAnsi"/>
          <w:color w:val="000000"/>
          <w:shd w:val="clear" w:color="auto" w:fill="FFFFFF"/>
          <w:lang w:val="en-AU"/>
        </w:rPr>
        <w:t>Arts Access Australia</w:t>
      </w:r>
    </w:p>
    <w:p w14:paraId="7B3C2FBA" w14:textId="7C641BA9" w:rsidR="0043611F" w:rsidRPr="009300C3" w:rsidRDefault="0043611F" w:rsidP="00B95C54">
      <w:pPr>
        <w:pStyle w:val="ListParagraph"/>
        <w:numPr>
          <w:ilvl w:val="0"/>
          <w:numId w:val="2"/>
        </w:numPr>
        <w:spacing w:before="0" w:after="0" w:line="240" w:lineRule="auto"/>
        <w:rPr>
          <w:rFonts w:asciiTheme="minorHAnsi" w:hAnsiTheme="minorHAnsi" w:cstheme="minorHAnsi"/>
          <w:lang w:val="en-AU"/>
        </w:rPr>
      </w:pPr>
      <w:r w:rsidRPr="009300C3">
        <w:rPr>
          <w:rFonts w:asciiTheme="minorHAnsi" w:hAnsiTheme="minorHAnsi" w:cstheme="minorHAnsi"/>
          <w:color w:val="000000"/>
          <w:shd w:val="clear" w:color="auto" w:fill="FFFFFF"/>
          <w:lang w:val="en-AU"/>
        </w:rPr>
        <w:t xml:space="preserve">Autism </w:t>
      </w:r>
      <w:proofErr w:type="spellStart"/>
      <w:r w:rsidRPr="009300C3">
        <w:rPr>
          <w:rFonts w:asciiTheme="minorHAnsi" w:hAnsiTheme="minorHAnsi" w:cstheme="minorHAnsi"/>
          <w:color w:val="000000"/>
          <w:shd w:val="clear" w:color="auto" w:fill="FFFFFF"/>
          <w:lang w:val="en-AU"/>
        </w:rPr>
        <w:t>Aspergers</w:t>
      </w:r>
      <w:proofErr w:type="spellEnd"/>
      <w:r w:rsidRPr="009300C3">
        <w:rPr>
          <w:rFonts w:asciiTheme="minorHAnsi" w:hAnsiTheme="minorHAnsi" w:cstheme="minorHAnsi"/>
          <w:color w:val="000000"/>
          <w:shd w:val="clear" w:color="auto" w:fill="FFFFFF"/>
          <w:lang w:val="en-AU"/>
        </w:rPr>
        <w:t xml:space="preserve"> Advocacy Australia</w:t>
      </w:r>
      <w:r w:rsidR="00B65E4B" w:rsidRPr="009300C3">
        <w:rPr>
          <w:rFonts w:asciiTheme="minorHAnsi" w:hAnsiTheme="minorHAnsi" w:cstheme="minorHAnsi"/>
          <w:color w:val="000000"/>
          <w:shd w:val="clear" w:color="auto" w:fill="FFFFFF"/>
          <w:lang w:val="en-AU"/>
        </w:rPr>
        <w:t xml:space="preserve"> (A4)</w:t>
      </w:r>
    </w:p>
    <w:p w14:paraId="4EFFEAFB"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Blind Citizens Australia</w:t>
      </w:r>
    </w:p>
    <w:p w14:paraId="4AE67520"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Brain Injury Australia</w:t>
      </w:r>
    </w:p>
    <w:p w14:paraId="06283395"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Deaf Australia</w:t>
      </w:r>
    </w:p>
    <w:p w14:paraId="4F4F7E45"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Deafblind Australia</w:t>
      </w:r>
    </w:p>
    <w:p w14:paraId="37ABFE2D"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Deafness Forum of Australia</w:t>
      </w:r>
    </w:p>
    <w:p w14:paraId="5C42C768"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Down Syndrome Australia</w:t>
      </w:r>
    </w:p>
    <w:p w14:paraId="08E8D06E"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Disability Advocacy Network Australia</w:t>
      </w:r>
    </w:p>
    <w:p w14:paraId="6690B1CC"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Disability Justice Australia</w:t>
      </w:r>
    </w:p>
    <w:p w14:paraId="5801D4E5"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Disability Resources Centre</w:t>
      </w:r>
    </w:p>
    <w:p w14:paraId="595143B6"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Enhanced Lifestyles</w:t>
      </w:r>
    </w:p>
    <w:p w14:paraId="1D9F73E3"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Multiple Sclerosis Australia</w:t>
      </w:r>
    </w:p>
    <w:p w14:paraId="092D8BFB"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National Mental Health Consumer and Carer Forum (NMHCCF)</w:t>
      </w:r>
    </w:p>
    <w:p w14:paraId="335FDEB9"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People with Disability WA</w:t>
      </w:r>
    </w:p>
    <w:p w14:paraId="7FF01E11"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 xml:space="preserve">People with Disabilities ACT </w:t>
      </w:r>
    </w:p>
    <w:p w14:paraId="39BE8197"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Polio Australia</w:t>
      </w:r>
    </w:p>
    <w:p w14:paraId="5C7E4ACE"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Physical Disability Australia</w:t>
      </w:r>
    </w:p>
    <w:p w14:paraId="7408AF94"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Women with Disabilities Victoria</w:t>
      </w:r>
    </w:p>
    <w:p w14:paraId="0C44AC71" w14:textId="77777777" w:rsidR="0043611F" w:rsidRPr="009300C3"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9300C3">
        <w:rPr>
          <w:rFonts w:asciiTheme="minorHAnsi" w:hAnsiTheme="minorHAnsi" w:cstheme="minorHAnsi"/>
          <w:color w:val="000000"/>
          <w:shd w:val="clear" w:color="auto" w:fill="FFFFFF"/>
          <w:lang w:val="en-AU"/>
        </w:rPr>
        <w:t>Women with Disabilities ACT</w:t>
      </w:r>
    </w:p>
    <w:p w14:paraId="41981F47" w14:textId="77777777" w:rsidR="0043611F" w:rsidRPr="009300C3" w:rsidRDefault="0043611F" w:rsidP="0043611F">
      <w:pPr>
        <w:spacing w:after="0"/>
        <w:rPr>
          <w:rFonts w:asciiTheme="minorHAnsi" w:hAnsiTheme="minorHAnsi" w:cstheme="minorHAnsi"/>
          <w:color w:val="000000"/>
          <w:shd w:val="clear" w:color="auto" w:fill="FFFFFF"/>
          <w:lang w:val="en-AU"/>
        </w:rPr>
      </w:pPr>
    </w:p>
    <w:p w14:paraId="03F4B16D" w14:textId="77777777" w:rsidR="0043611F" w:rsidRPr="009300C3" w:rsidRDefault="0043611F" w:rsidP="0043611F">
      <w:pPr>
        <w:spacing w:after="0" w:line="240" w:lineRule="auto"/>
        <w:rPr>
          <w:rFonts w:asciiTheme="minorHAnsi" w:hAnsiTheme="minorHAnsi" w:cstheme="minorHAnsi"/>
          <w:b/>
          <w:lang w:val="en-AU"/>
        </w:rPr>
      </w:pPr>
      <w:r w:rsidRPr="009300C3">
        <w:rPr>
          <w:rFonts w:asciiTheme="minorHAnsi" w:hAnsiTheme="minorHAnsi" w:cstheme="minorHAnsi"/>
          <w:b/>
          <w:lang w:val="en-AU"/>
        </w:rPr>
        <w:t>Associate members:</w:t>
      </w:r>
    </w:p>
    <w:p w14:paraId="5D4752C6"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 xml:space="preserve">AED Legal Centre </w:t>
      </w:r>
    </w:p>
    <w:p w14:paraId="143F6E44"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All Means All</w:t>
      </w:r>
    </w:p>
    <w:p w14:paraId="6075F59A"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 xml:space="preserve">Amaze </w:t>
      </w:r>
    </w:p>
    <w:p w14:paraId="285BF90D"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proofErr w:type="spellStart"/>
      <w:r w:rsidRPr="009300C3">
        <w:rPr>
          <w:rFonts w:asciiTheme="minorHAnsi" w:hAnsiTheme="minorHAnsi" w:cstheme="minorHAnsi"/>
          <w:lang w:val="en-AU"/>
        </w:rPr>
        <w:t>Aspergers</w:t>
      </w:r>
      <w:proofErr w:type="spellEnd"/>
      <w:r w:rsidRPr="009300C3">
        <w:rPr>
          <w:rFonts w:asciiTheme="minorHAnsi" w:hAnsiTheme="minorHAnsi" w:cstheme="minorHAnsi"/>
          <w:lang w:val="en-AU"/>
        </w:rPr>
        <w:t xml:space="preserve"> Victoria</w:t>
      </w:r>
    </w:p>
    <w:p w14:paraId="6B6E34F9"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Disability Advocacy and Complaints Service of South Australia (DACSSA)</w:t>
      </w:r>
    </w:p>
    <w:p w14:paraId="7DF318B5"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Disability Law Queensland</w:t>
      </w:r>
    </w:p>
    <w:p w14:paraId="7207D974"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Leadership Plus</w:t>
      </w:r>
    </w:p>
    <w:p w14:paraId="322E212A"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 xml:space="preserve">National Organisation for </w:t>
      </w:r>
      <w:proofErr w:type="spellStart"/>
      <w:r w:rsidRPr="009300C3">
        <w:rPr>
          <w:rFonts w:asciiTheme="minorHAnsi" w:hAnsiTheme="minorHAnsi" w:cstheme="minorHAnsi"/>
          <w:lang w:val="en-AU"/>
        </w:rPr>
        <w:t>Fetal</w:t>
      </w:r>
      <w:proofErr w:type="spellEnd"/>
      <w:r w:rsidRPr="009300C3">
        <w:rPr>
          <w:rFonts w:asciiTheme="minorHAnsi" w:hAnsiTheme="minorHAnsi" w:cstheme="minorHAnsi"/>
          <w:lang w:val="en-AU"/>
        </w:rPr>
        <w:t xml:space="preserve"> Alcohol Spectrum Disorder (NOFASD)</w:t>
      </w:r>
    </w:p>
    <w:p w14:paraId="2EBB22FF"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Star Victoria</w:t>
      </w:r>
    </w:p>
    <w:p w14:paraId="5C3A6933"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TASC National Limited</w:t>
      </w:r>
    </w:p>
    <w:p w14:paraId="47E2BE31" w14:textId="77777777" w:rsidR="0043611F" w:rsidRPr="009300C3" w:rsidRDefault="0043611F" w:rsidP="00B95C54">
      <w:pPr>
        <w:pStyle w:val="ListParagraph"/>
        <w:numPr>
          <w:ilvl w:val="0"/>
          <w:numId w:val="3"/>
        </w:numPr>
        <w:spacing w:before="0" w:after="0" w:line="240" w:lineRule="auto"/>
        <w:rPr>
          <w:rFonts w:asciiTheme="minorHAnsi" w:hAnsiTheme="minorHAnsi" w:cstheme="minorHAnsi"/>
          <w:lang w:val="en-AU"/>
        </w:rPr>
      </w:pPr>
      <w:r w:rsidRPr="009300C3">
        <w:rPr>
          <w:rFonts w:asciiTheme="minorHAnsi" w:hAnsiTheme="minorHAnsi" w:cstheme="minorHAnsi"/>
          <w:lang w:val="en-AU"/>
        </w:rPr>
        <w:t xml:space="preserve">YDAS – Youth Disability Advocacy Service </w:t>
      </w:r>
    </w:p>
    <w:p w14:paraId="60A73085" w14:textId="77777777" w:rsidR="0043611F" w:rsidRPr="009300C3" w:rsidRDefault="0043611F" w:rsidP="0043611F">
      <w:pPr>
        <w:spacing w:after="0" w:line="240" w:lineRule="auto"/>
        <w:jc w:val="center"/>
        <w:rPr>
          <w:rFonts w:asciiTheme="minorHAnsi" w:hAnsiTheme="minorHAnsi" w:cstheme="minorHAnsi"/>
          <w:lang w:val="en-AU" w:eastAsia="en-AU"/>
        </w:rPr>
      </w:pPr>
    </w:p>
    <w:p w14:paraId="08FD4C8A" w14:textId="77777777" w:rsidR="0043611F" w:rsidRPr="009300C3" w:rsidRDefault="0043611F" w:rsidP="0043611F">
      <w:pPr>
        <w:spacing w:after="0" w:line="240" w:lineRule="auto"/>
        <w:jc w:val="center"/>
        <w:rPr>
          <w:rFonts w:asciiTheme="minorHAnsi" w:hAnsiTheme="minorHAnsi" w:cstheme="minorHAnsi"/>
          <w:lang w:val="en-AU"/>
        </w:rPr>
      </w:pPr>
      <w:r w:rsidRPr="009300C3">
        <w:rPr>
          <w:rFonts w:asciiTheme="minorHAnsi" w:hAnsiTheme="minorHAnsi" w:cstheme="minorHAnsi"/>
          <w:noProof/>
          <w:lang w:val="en-AU" w:eastAsia="en-AU"/>
        </w:rPr>
        <w:lastRenderedPageBreak/>
        <w:drawing>
          <wp:inline distT="0" distB="0" distL="0" distR="0" wp14:anchorId="129D70C1" wp14:editId="3CFB4480">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186AA944" w14:textId="77777777" w:rsidR="0043611F" w:rsidRPr="009300C3" w:rsidRDefault="0043611F" w:rsidP="0043611F">
      <w:pPr>
        <w:rPr>
          <w:lang w:val="en-AU"/>
        </w:rPr>
      </w:pPr>
    </w:p>
    <w:p w14:paraId="5AF6AD6A" w14:textId="77777777" w:rsidR="0043611F" w:rsidRPr="009300C3" w:rsidRDefault="0043611F" w:rsidP="0043611F">
      <w:pPr>
        <w:rPr>
          <w:lang w:val="en-AU"/>
        </w:rPr>
      </w:pPr>
    </w:p>
    <w:p w14:paraId="57126F65" w14:textId="77777777" w:rsidR="0043611F" w:rsidRPr="009300C3" w:rsidRDefault="0043611F" w:rsidP="0043611F">
      <w:pPr>
        <w:rPr>
          <w:lang w:val="en-AU"/>
        </w:rPr>
      </w:pPr>
    </w:p>
    <w:p w14:paraId="6A41B67C" w14:textId="77777777" w:rsidR="0043611F" w:rsidRPr="009300C3" w:rsidRDefault="0043611F" w:rsidP="0043611F">
      <w:pPr>
        <w:rPr>
          <w:lang w:val="en-AU"/>
        </w:rPr>
      </w:pPr>
    </w:p>
    <w:p w14:paraId="5D8A139D" w14:textId="77777777" w:rsidR="0043611F" w:rsidRPr="009300C3" w:rsidRDefault="0043611F" w:rsidP="0043611F">
      <w:pPr>
        <w:rPr>
          <w:lang w:val="en-AU"/>
        </w:rPr>
      </w:pPr>
    </w:p>
    <w:p w14:paraId="6FC403A0" w14:textId="77777777" w:rsidR="0043611F" w:rsidRPr="009300C3" w:rsidRDefault="0043611F" w:rsidP="0043611F">
      <w:pPr>
        <w:rPr>
          <w:lang w:val="en-AU"/>
        </w:rPr>
      </w:pPr>
    </w:p>
    <w:p w14:paraId="2757658F" w14:textId="77777777" w:rsidR="0043611F" w:rsidRPr="009300C3" w:rsidRDefault="0043611F" w:rsidP="0043611F">
      <w:pPr>
        <w:rPr>
          <w:lang w:val="en-AU"/>
        </w:rPr>
      </w:pPr>
    </w:p>
    <w:p w14:paraId="4FA62295" w14:textId="77777777" w:rsidR="0043611F" w:rsidRPr="009300C3" w:rsidRDefault="0043611F" w:rsidP="0043611F">
      <w:pPr>
        <w:rPr>
          <w:lang w:val="en-AU"/>
        </w:rPr>
      </w:pPr>
    </w:p>
    <w:p w14:paraId="2FD2A308" w14:textId="306BA1CA" w:rsidR="005318B2" w:rsidRPr="009300C3" w:rsidRDefault="005318B2" w:rsidP="0043611F">
      <w:pPr>
        <w:pStyle w:val="Heading2"/>
        <w:rPr>
          <w:color w:val="006666"/>
          <w:sz w:val="44"/>
          <w:szCs w:val="44"/>
        </w:rPr>
      </w:pPr>
    </w:p>
    <w:p w14:paraId="05D376F6" w14:textId="4D39FF28" w:rsidR="005318B2" w:rsidRPr="009300C3" w:rsidRDefault="005318B2" w:rsidP="005318B2">
      <w:pPr>
        <w:rPr>
          <w:lang w:val="en-AU" w:eastAsia="zh-CN"/>
        </w:rPr>
      </w:pPr>
    </w:p>
    <w:p w14:paraId="2FC3AE8B" w14:textId="03C8FA7C" w:rsidR="0043611F" w:rsidRPr="009300C3" w:rsidRDefault="0043611F" w:rsidP="00B16458">
      <w:pPr>
        <w:pStyle w:val="HeadingNew"/>
        <w:rPr>
          <w:lang w:val="en-AU"/>
        </w:rPr>
      </w:pPr>
      <w:r w:rsidRPr="009300C3">
        <w:rPr>
          <w:lang w:val="en-AU"/>
        </w:rPr>
        <w:lastRenderedPageBreak/>
        <w:t>Acknowledgements</w:t>
      </w:r>
      <w:r w:rsidRPr="009300C3">
        <w:rPr>
          <w:rFonts w:asciiTheme="minorHAnsi" w:hAnsiTheme="minorHAnsi" w:cstheme="minorHAnsi"/>
          <w:lang w:val="en-AU"/>
        </w:rPr>
        <w:br/>
      </w:r>
      <w:r w:rsidR="00B16458" w:rsidRPr="009300C3">
        <w:rPr>
          <w:rFonts w:ascii="Calibri" w:hAnsi="Calibri" w:cs="Calibri"/>
          <w:b w:val="0"/>
          <w:bCs/>
          <w:color w:val="auto"/>
          <w:sz w:val="24"/>
          <w:lang w:val="en-AU"/>
        </w:rPr>
        <w:br/>
      </w:r>
      <w:r w:rsidRPr="009300C3">
        <w:rPr>
          <w:rFonts w:ascii="Calibri" w:hAnsi="Calibri" w:cs="Calibri"/>
          <w:b w:val="0"/>
          <w:bCs/>
          <w:color w:val="auto"/>
          <w:sz w:val="24"/>
          <w:lang w:val="en-AU"/>
        </w:rPr>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9300C3">
        <w:rPr>
          <w:rFonts w:ascii="Calibri" w:hAnsi="Calibri" w:cs="Calibri"/>
          <w:b w:val="0"/>
          <w:bCs/>
          <w:color w:val="auto"/>
          <w:sz w:val="24"/>
          <w:lang w:val="en-AU"/>
        </w:rPr>
        <w:t>Woi</w:t>
      </w:r>
      <w:proofErr w:type="spellEnd"/>
      <w:r w:rsidRPr="009300C3">
        <w:rPr>
          <w:rFonts w:ascii="Calibri" w:hAnsi="Calibri" w:cs="Calibri"/>
          <w:b w:val="0"/>
          <w:bCs/>
          <w:color w:val="auto"/>
          <w:sz w:val="24"/>
          <w:lang w:val="en-AU"/>
        </w:rPr>
        <w:t xml:space="preserve"> Wurrung peoples of the Eastern Kulin Nation and to their Elders past, present, and emerging. We also pay our respects to the traditional owners of all lands on which we operate or meet around the country.</w:t>
      </w:r>
    </w:p>
    <w:p w14:paraId="010BCB9D" w14:textId="77777777" w:rsidR="0043611F" w:rsidRPr="009300C3" w:rsidRDefault="0043611F" w:rsidP="0043611F">
      <w:pPr>
        <w:rPr>
          <w:rFonts w:asciiTheme="minorHAnsi" w:hAnsiTheme="minorHAnsi" w:cstheme="minorHAnsi"/>
          <w:kern w:val="0"/>
          <w:sz w:val="22"/>
          <w:szCs w:val="22"/>
          <w:lang w:val="en-AU"/>
        </w:rPr>
      </w:pPr>
      <w:r w:rsidRPr="009300C3">
        <w:rPr>
          <w:rFonts w:asciiTheme="minorHAnsi" w:hAnsiTheme="minorHAnsi" w:cstheme="minorHAnsi"/>
          <w:lang w:val="en-AU"/>
        </w:rPr>
        <w:t xml:space="preserve">AFDO acknowledges people with disability, </w:t>
      </w:r>
      <w:r w:rsidRPr="009300C3">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3C8EF398" w14:textId="6804BF41" w:rsidR="0043611F" w:rsidRPr="009300C3" w:rsidRDefault="0043611F" w:rsidP="0043611F">
      <w:pPr>
        <w:rPr>
          <w:rFonts w:asciiTheme="minorHAnsi" w:hAnsiTheme="minorHAnsi" w:cstheme="minorHAnsi"/>
          <w:lang w:val="en-AU"/>
        </w:rPr>
      </w:pPr>
    </w:p>
    <w:p w14:paraId="5323D27B" w14:textId="32A9A2ED" w:rsidR="0043611F" w:rsidRPr="009300C3" w:rsidRDefault="0043611F" w:rsidP="0043611F">
      <w:pPr>
        <w:rPr>
          <w:rFonts w:asciiTheme="minorHAnsi" w:hAnsiTheme="minorHAnsi" w:cstheme="minorHAnsi"/>
          <w:lang w:val="en-AU"/>
        </w:rPr>
      </w:pPr>
    </w:p>
    <w:p w14:paraId="30DC231C" w14:textId="083BA7D1" w:rsidR="0043611F" w:rsidRPr="009300C3" w:rsidRDefault="0043611F" w:rsidP="0043611F">
      <w:pPr>
        <w:rPr>
          <w:rFonts w:asciiTheme="minorHAnsi" w:hAnsiTheme="minorHAnsi" w:cstheme="minorHAnsi"/>
          <w:lang w:val="en-AU"/>
        </w:rPr>
      </w:pPr>
    </w:p>
    <w:p w14:paraId="73A1AAB4" w14:textId="1C1EBAEC" w:rsidR="0043611F" w:rsidRPr="009300C3" w:rsidRDefault="0043611F" w:rsidP="0043611F">
      <w:pPr>
        <w:rPr>
          <w:rFonts w:asciiTheme="minorHAnsi" w:hAnsiTheme="minorHAnsi" w:cstheme="minorHAnsi"/>
          <w:lang w:val="en-AU"/>
        </w:rPr>
      </w:pPr>
    </w:p>
    <w:p w14:paraId="61F5A934" w14:textId="286915F2" w:rsidR="0043611F" w:rsidRPr="009300C3" w:rsidRDefault="0043611F" w:rsidP="0043611F">
      <w:pPr>
        <w:rPr>
          <w:rFonts w:asciiTheme="minorHAnsi" w:hAnsiTheme="minorHAnsi" w:cstheme="minorHAnsi"/>
          <w:lang w:val="en-AU"/>
        </w:rPr>
      </w:pPr>
    </w:p>
    <w:p w14:paraId="627BA786" w14:textId="3CD6ABE0" w:rsidR="0043611F" w:rsidRPr="009300C3" w:rsidRDefault="0043611F" w:rsidP="0043611F">
      <w:pPr>
        <w:rPr>
          <w:rFonts w:asciiTheme="minorHAnsi" w:hAnsiTheme="minorHAnsi" w:cstheme="minorHAnsi"/>
          <w:lang w:val="en-AU"/>
        </w:rPr>
      </w:pPr>
    </w:p>
    <w:p w14:paraId="134F5F29" w14:textId="0F1A1AC9" w:rsidR="005318B2" w:rsidRPr="009300C3" w:rsidRDefault="005318B2" w:rsidP="0043611F">
      <w:pPr>
        <w:rPr>
          <w:rFonts w:asciiTheme="minorHAnsi" w:hAnsiTheme="minorHAnsi" w:cstheme="minorHAnsi"/>
          <w:lang w:val="en-AU"/>
        </w:rPr>
      </w:pPr>
    </w:p>
    <w:p w14:paraId="778259C6" w14:textId="5EBAE914" w:rsidR="00542E74" w:rsidRPr="009300C3" w:rsidRDefault="00542E74" w:rsidP="0043611F">
      <w:pPr>
        <w:rPr>
          <w:rFonts w:asciiTheme="minorHAnsi" w:hAnsiTheme="minorHAnsi" w:cstheme="minorHAnsi"/>
          <w:lang w:val="en-AU"/>
        </w:rPr>
      </w:pPr>
    </w:p>
    <w:p w14:paraId="438C90B0" w14:textId="02978369" w:rsidR="00542E74" w:rsidRPr="009300C3" w:rsidRDefault="00542E74" w:rsidP="0043611F">
      <w:pPr>
        <w:rPr>
          <w:rFonts w:asciiTheme="minorHAnsi" w:hAnsiTheme="minorHAnsi" w:cstheme="minorHAnsi"/>
          <w:lang w:val="en-AU"/>
        </w:rPr>
      </w:pPr>
    </w:p>
    <w:p w14:paraId="099913F6" w14:textId="509F7C6A" w:rsidR="00542E74" w:rsidRPr="009300C3" w:rsidRDefault="00542E74" w:rsidP="0043611F">
      <w:pPr>
        <w:rPr>
          <w:rFonts w:asciiTheme="minorHAnsi" w:hAnsiTheme="minorHAnsi" w:cstheme="minorHAnsi"/>
          <w:lang w:val="en-AU"/>
        </w:rPr>
      </w:pPr>
    </w:p>
    <w:p w14:paraId="1174DA40" w14:textId="4AE57515" w:rsidR="00542E74" w:rsidRPr="009300C3" w:rsidRDefault="00542E74" w:rsidP="0043611F">
      <w:pPr>
        <w:rPr>
          <w:rFonts w:asciiTheme="minorHAnsi" w:hAnsiTheme="minorHAnsi" w:cstheme="minorHAnsi"/>
          <w:lang w:val="en-AU"/>
        </w:rPr>
      </w:pPr>
    </w:p>
    <w:p w14:paraId="5FC98A6F" w14:textId="51D09C11" w:rsidR="00542E74" w:rsidRPr="009300C3" w:rsidRDefault="00542E74" w:rsidP="0043611F">
      <w:pPr>
        <w:rPr>
          <w:rFonts w:asciiTheme="minorHAnsi" w:hAnsiTheme="minorHAnsi" w:cstheme="minorHAnsi"/>
          <w:lang w:val="en-AU"/>
        </w:rPr>
      </w:pPr>
    </w:p>
    <w:p w14:paraId="4B00068D" w14:textId="5B0828E9" w:rsidR="00542E74" w:rsidRPr="009300C3" w:rsidRDefault="00542E74" w:rsidP="0043611F">
      <w:pPr>
        <w:rPr>
          <w:rFonts w:asciiTheme="minorHAnsi" w:hAnsiTheme="minorHAnsi" w:cstheme="minorHAnsi"/>
          <w:lang w:val="en-AU"/>
        </w:rPr>
      </w:pPr>
    </w:p>
    <w:p w14:paraId="63165CBE" w14:textId="6BF0C6A7" w:rsidR="00542E74" w:rsidRPr="009300C3" w:rsidRDefault="00542E74" w:rsidP="0043611F">
      <w:pPr>
        <w:rPr>
          <w:rFonts w:asciiTheme="minorHAnsi" w:hAnsiTheme="minorHAnsi" w:cstheme="minorHAnsi"/>
          <w:lang w:val="en-AU"/>
        </w:rPr>
      </w:pPr>
    </w:p>
    <w:p w14:paraId="0F01E883" w14:textId="5741962C" w:rsidR="00542E74" w:rsidRPr="009300C3" w:rsidRDefault="00542E74" w:rsidP="0043611F">
      <w:pPr>
        <w:rPr>
          <w:rFonts w:asciiTheme="minorHAnsi" w:hAnsiTheme="minorHAnsi" w:cstheme="minorHAnsi"/>
          <w:lang w:val="en-AU"/>
        </w:rPr>
      </w:pPr>
    </w:p>
    <w:p w14:paraId="4147DD3F" w14:textId="2AE78C8D" w:rsidR="00542E74" w:rsidRPr="009300C3" w:rsidRDefault="00542E74" w:rsidP="0043611F">
      <w:pPr>
        <w:rPr>
          <w:rFonts w:asciiTheme="minorHAnsi" w:hAnsiTheme="minorHAnsi" w:cstheme="minorHAnsi"/>
          <w:lang w:val="en-AU"/>
        </w:rPr>
      </w:pPr>
    </w:p>
    <w:p w14:paraId="3C615A46" w14:textId="380442AE" w:rsidR="003A692C" w:rsidRPr="009300C3" w:rsidRDefault="003A692C" w:rsidP="00542E74">
      <w:pPr>
        <w:pStyle w:val="HeadingNew"/>
        <w:rPr>
          <w:lang w:val="en-AU"/>
        </w:rPr>
      </w:pPr>
      <w:r w:rsidRPr="009300C3">
        <w:rPr>
          <w:lang w:val="en-AU"/>
        </w:rPr>
        <w:lastRenderedPageBreak/>
        <w:t>Introduct</w:t>
      </w:r>
      <w:r w:rsidR="002C7563" w:rsidRPr="009300C3">
        <w:rPr>
          <w:lang w:val="en-AU"/>
        </w:rPr>
        <w:t>ory comments</w:t>
      </w:r>
    </w:p>
    <w:p w14:paraId="749B4299" w14:textId="573F57AB" w:rsidR="00801976" w:rsidRPr="009300C3" w:rsidRDefault="00801976" w:rsidP="00801976">
      <w:pPr>
        <w:rPr>
          <w:rFonts w:asciiTheme="minorHAnsi" w:hAnsiTheme="minorHAnsi" w:cstheme="minorHAnsi"/>
          <w:lang w:val="en-AU"/>
        </w:rPr>
      </w:pPr>
      <w:r w:rsidRPr="009300C3">
        <w:rPr>
          <w:rFonts w:asciiTheme="minorHAnsi" w:hAnsiTheme="minorHAnsi" w:cstheme="minorHAnsi"/>
          <w:lang w:val="en-AU"/>
        </w:rPr>
        <w:t xml:space="preserve">AFDO thanks the Department of Health and </w:t>
      </w:r>
      <w:r w:rsidR="00A87095" w:rsidRPr="009300C3">
        <w:rPr>
          <w:rFonts w:asciiTheme="minorHAnsi" w:hAnsiTheme="minorHAnsi" w:cstheme="minorHAnsi"/>
          <w:lang w:val="en-AU"/>
        </w:rPr>
        <w:t xml:space="preserve">Aged </w:t>
      </w:r>
      <w:r w:rsidR="00E27F7F" w:rsidRPr="009300C3">
        <w:rPr>
          <w:rFonts w:asciiTheme="minorHAnsi" w:hAnsiTheme="minorHAnsi" w:cstheme="minorHAnsi"/>
          <w:lang w:val="en-AU"/>
        </w:rPr>
        <w:t>C</w:t>
      </w:r>
      <w:r w:rsidR="00A87095" w:rsidRPr="009300C3">
        <w:rPr>
          <w:rFonts w:asciiTheme="minorHAnsi" w:hAnsiTheme="minorHAnsi" w:cstheme="minorHAnsi"/>
          <w:lang w:val="en-AU"/>
        </w:rPr>
        <w:t>are</w:t>
      </w:r>
      <w:r w:rsidR="00E27F7F" w:rsidRPr="009300C3">
        <w:rPr>
          <w:rFonts w:asciiTheme="minorHAnsi" w:hAnsiTheme="minorHAnsi" w:cstheme="minorHAnsi"/>
          <w:lang w:val="en-AU"/>
        </w:rPr>
        <w:t xml:space="preserve"> (the Department)</w:t>
      </w:r>
      <w:r w:rsidRPr="009300C3">
        <w:rPr>
          <w:rFonts w:asciiTheme="minorHAnsi" w:hAnsiTheme="minorHAnsi" w:cstheme="minorHAnsi"/>
          <w:lang w:val="en-AU"/>
        </w:rPr>
        <w:t xml:space="preserve"> for providing an opportunity to submit feedback to inform the development of the National Dementia Action Plan for 2023-2033. </w:t>
      </w:r>
      <w:r w:rsidR="00A87095" w:rsidRPr="009300C3">
        <w:rPr>
          <w:rFonts w:asciiTheme="minorHAnsi" w:hAnsiTheme="minorHAnsi" w:cstheme="minorHAnsi"/>
          <w:lang w:val="en-AU"/>
        </w:rPr>
        <w:t>AFDO</w:t>
      </w:r>
      <w:r w:rsidRPr="009300C3">
        <w:rPr>
          <w:rFonts w:asciiTheme="minorHAnsi" w:hAnsiTheme="minorHAnsi" w:cstheme="minorHAnsi"/>
          <w:lang w:val="en-AU"/>
        </w:rPr>
        <w:t xml:space="preserve"> recogni</w:t>
      </w:r>
      <w:r w:rsidR="00A87095" w:rsidRPr="009300C3">
        <w:rPr>
          <w:rFonts w:asciiTheme="minorHAnsi" w:hAnsiTheme="minorHAnsi" w:cstheme="minorHAnsi"/>
          <w:lang w:val="en-AU"/>
        </w:rPr>
        <w:t>s</w:t>
      </w:r>
      <w:r w:rsidRPr="009300C3">
        <w:rPr>
          <w:rFonts w:asciiTheme="minorHAnsi" w:hAnsiTheme="minorHAnsi" w:cstheme="minorHAnsi"/>
          <w:lang w:val="en-AU"/>
        </w:rPr>
        <w:t>e</w:t>
      </w:r>
      <w:r w:rsidR="00A87095" w:rsidRPr="009300C3">
        <w:rPr>
          <w:rFonts w:asciiTheme="minorHAnsi" w:hAnsiTheme="minorHAnsi" w:cstheme="minorHAnsi"/>
          <w:lang w:val="en-AU"/>
        </w:rPr>
        <w:t>s</w:t>
      </w:r>
      <w:r w:rsidRPr="009300C3">
        <w:rPr>
          <w:rFonts w:asciiTheme="minorHAnsi" w:hAnsiTheme="minorHAnsi" w:cstheme="minorHAnsi"/>
          <w:lang w:val="en-AU"/>
        </w:rPr>
        <w:t xml:space="preserve"> dementia as a primary form of disability, as it falls within the definition outlined under Article 1 of the Convention on the Rights of Persons with Disabilities.</w:t>
      </w:r>
      <w:r w:rsidR="00C41C03">
        <w:rPr>
          <w:rStyle w:val="FootnoteReference"/>
          <w:rFonts w:asciiTheme="minorHAnsi" w:hAnsiTheme="minorHAnsi" w:cstheme="minorHAnsi"/>
          <w:lang w:val="en-AU"/>
        </w:rPr>
        <w:footnoteReference w:id="2"/>
      </w:r>
      <w:r w:rsidRPr="009300C3">
        <w:rPr>
          <w:rFonts w:asciiTheme="minorHAnsi" w:hAnsiTheme="minorHAnsi" w:cstheme="minorHAnsi"/>
          <w:lang w:val="en-AU"/>
        </w:rPr>
        <w:t xml:space="preserve"> As such, we have a vested interest in ensuring the rights of people with dementia are adequately promoted, </w:t>
      </w:r>
      <w:r w:rsidR="00A87095" w:rsidRPr="009300C3">
        <w:rPr>
          <w:rFonts w:asciiTheme="minorHAnsi" w:hAnsiTheme="minorHAnsi" w:cstheme="minorHAnsi"/>
          <w:lang w:val="en-AU"/>
        </w:rPr>
        <w:t>protected,</w:t>
      </w:r>
      <w:r w:rsidRPr="009300C3">
        <w:rPr>
          <w:rFonts w:asciiTheme="minorHAnsi" w:hAnsiTheme="minorHAnsi" w:cstheme="minorHAnsi"/>
          <w:lang w:val="en-AU"/>
        </w:rPr>
        <w:t xml:space="preserve"> and upheld. We are also concerned with how activities pertaining to dementia prevention and care can be made more accessible to people with other forms of permanent and severe disability. As such, the issues and recommendations raised throughout this submission reflect our desire for the National Dementia Action Plan to result in:</w:t>
      </w:r>
    </w:p>
    <w:p w14:paraId="0356D44F" w14:textId="003AD6E9" w:rsidR="00801976" w:rsidRPr="009300C3" w:rsidRDefault="00801976" w:rsidP="00801976">
      <w:pPr>
        <w:pStyle w:val="ListParagraph"/>
        <w:numPr>
          <w:ilvl w:val="0"/>
          <w:numId w:val="15"/>
        </w:numPr>
        <w:rPr>
          <w:rFonts w:asciiTheme="minorHAnsi" w:hAnsiTheme="minorHAnsi" w:cstheme="minorHAnsi"/>
          <w:lang w:val="en-AU"/>
        </w:rPr>
      </w:pPr>
      <w:r w:rsidRPr="009300C3">
        <w:rPr>
          <w:rFonts w:asciiTheme="minorHAnsi" w:hAnsiTheme="minorHAnsi" w:cstheme="minorHAnsi"/>
          <w:lang w:val="en-AU"/>
        </w:rPr>
        <w:t xml:space="preserve">A reduction in the prevalence </w:t>
      </w:r>
      <w:r w:rsidR="00816F2A">
        <w:rPr>
          <w:rFonts w:asciiTheme="minorHAnsi" w:hAnsiTheme="minorHAnsi" w:cstheme="minorHAnsi"/>
          <w:lang w:val="en-AU"/>
        </w:rPr>
        <w:t xml:space="preserve">and impact </w:t>
      </w:r>
      <w:r w:rsidRPr="009300C3">
        <w:rPr>
          <w:rFonts w:asciiTheme="minorHAnsi" w:hAnsiTheme="minorHAnsi" w:cstheme="minorHAnsi"/>
          <w:lang w:val="en-AU"/>
        </w:rPr>
        <w:t>of dementia in Australia, particularly among people with other forms of permanent and severe disability</w:t>
      </w:r>
      <w:r w:rsidR="00A87095" w:rsidRPr="009300C3">
        <w:rPr>
          <w:rFonts w:asciiTheme="minorHAnsi" w:hAnsiTheme="minorHAnsi" w:cstheme="minorHAnsi"/>
          <w:lang w:val="en-AU"/>
        </w:rPr>
        <w:t>.</w:t>
      </w:r>
    </w:p>
    <w:p w14:paraId="351B7D64" w14:textId="1A28E34F" w:rsidR="00801976" w:rsidRPr="009300C3" w:rsidRDefault="00801976" w:rsidP="00801976">
      <w:pPr>
        <w:pStyle w:val="ListParagraph"/>
        <w:numPr>
          <w:ilvl w:val="0"/>
          <w:numId w:val="15"/>
        </w:numPr>
        <w:rPr>
          <w:rFonts w:asciiTheme="minorHAnsi" w:hAnsiTheme="minorHAnsi" w:cstheme="minorHAnsi"/>
          <w:lang w:val="en-AU"/>
        </w:rPr>
      </w:pPr>
      <w:r w:rsidRPr="009300C3">
        <w:rPr>
          <w:rFonts w:asciiTheme="minorHAnsi" w:hAnsiTheme="minorHAnsi" w:cstheme="minorHAnsi"/>
          <w:lang w:val="en-AU"/>
        </w:rPr>
        <w:t>An improvement in the accessibility and inclusivity of dementia-related information and services</w:t>
      </w:r>
      <w:r w:rsidR="00D05816" w:rsidRPr="009300C3">
        <w:rPr>
          <w:rFonts w:asciiTheme="minorHAnsi" w:hAnsiTheme="minorHAnsi" w:cstheme="minorHAnsi"/>
          <w:lang w:val="en-AU"/>
        </w:rPr>
        <w:t>.</w:t>
      </w:r>
    </w:p>
    <w:p w14:paraId="7AA642FC" w14:textId="3191E5D6" w:rsidR="00801976" w:rsidRPr="009300C3" w:rsidRDefault="00801976" w:rsidP="00801976">
      <w:pPr>
        <w:pStyle w:val="ListParagraph"/>
        <w:numPr>
          <w:ilvl w:val="0"/>
          <w:numId w:val="15"/>
        </w:numPr>
        <w:rPr>
          <w:rFonts w:asciiTheme="minorHAnsi" w:hAnsiTheme="minorHAnsi" w:cstheme="minorHAnsi"/>
          <w:lang w:val="en-AU"/>
        </w:rPr>
      </w:pPr>
      <w:r w:rsidRPr="009300C3">
        <w:rPr>
          <w:rFonts w:asciiTheme="minorHAnsi" w:hAnsiTheme="minorHAnsi" w:cstheme="minorHAnsi"/>
          <w:lang w:val="en-AU"/>
        </w:rPr>
        <w:t>Enhanced safeguards to protect people with dementia from violence, abuse</w:t>
      </w:r>
      <w:r w:rsidR="00D05816" w:rsidRPr="009300C3">
        <w:rPr>
          <w:rFonts w:asciiTheme="minorHAnsi" w:hAnsiTheme="minorHAnsi" w:cstheme="minorHAnsi"/>
          <w:lang w:val="en-AU"/>
        </w:rPr>
        <w:t>,</w:t>
      </w:r>
      <w:r w:rsidRPr="009300C3">
        <w:rPr>
          <w:rFonts w:asciiTheme="minorHAnsi" w:hAnsiTheme="minorHAnsi" w:cstheme="minorHAnsi"/>
          <w:lang w:val="en-AU"/>
        </w:rPr>
        <w:t xml:space="preserve"> and neglect</w:t>
      </w:r>
      <w:r w:rsidR="00D05816" w:rsidRPr="009300C3">
        <w:rPr>
          <w:rFonts w:asciiTheme="minorHAnsi" w:hAnsiTheme="minorHAnsi" w:cstheme="minorHAnsi"/>
          <w:lang w:val="en-AU"/>
        </w:rPr>
        <w:t>.</w:t>
      </w:r>
    </w:p>
    <w:p w14:paraId="01503C4A" w14:textId="452B0714" w:rsidR="00801976" w:rsidRPr="009300C3" w:rsidRDefault="00801976" w:rsidP="00801976">
      <w:pPr>
        <w:pStyle w:val="ListParagraph"/>
        <w:numPr>
          <w:ilvl w:val="0"/>
          <w:numId w:val="15"/>
        </w:numPr>
        <w:rPr>
          <w:rFonts w:asciiTheme="minorHAnsi" w:hAnsiTheme="minorHAnsi" w:cstheme="minorHAnsi"/>
          <w:lang w:val="en-AU"/>
        </w:rPr>
      </w:pPr>
      <w:r w:rsidRPr="009300C3">
        <w:rPr>
          <w:rFonts w:asciiTheme="minorHAnsi" w:hAnsiTheme="minorHAnsi" w:cstheme="minorHAnsi"/>
          <w:lang w:val="en-AU"/>
        </w:rPr>
        <w:t>Enhanced mechanisms to facilitate the right to supported decision-making in the context of dementia-care</w:t>
      </w:r>
      <w:r w:rsidR="00D05816" w:rsidRPr="009300C3">
        <w:rPr>
          <w:rFonts w:asciiTheme="minorHAnsi" w:hAnsiTheme="minorHAnsi" w:cstheme="minorHAnsi"/>
          <w:lang w:val="en-AU"/>
        </w:rPr>
        <w:t>.</w:t>
      </w:r>
    </w:p>
    <w:p w14:paraId="2DC5EF51" w14:textId="52D8A4F1" w:rsidR="009F214F" w:rsidRPr="009300C3" w:rsidRDefault="00801976" w:rsidP="00801976">
      <w:pPr>
        <w:pStyle w:val="ListParagraph"/>
        <w:numPr>
          <w:ilvl w:val="0"/>
          <w:numId w:val="15"/>
        </w:numPr>
        <w:rPr>
          <w:rFonts w:asciiTheme="minorHAnsi" w:hAnsiTheme="minorHAnsi" w:cstheme="minorHAnsi"/>
          <w:lang w:val="en-AU"/>
        </w:rPr>
      </w:pPr>
      <w:r w:rsidRPr="009300C3">
        <w:rPr>
          <w:rFonts w:asciiTheme="minorHAnsi" w:hAnsiTheme="minorHAnsi" w:cstheme="minorHAnsi"/>
          <w:lang w:val="en-AU"/>
        </w:rPr>
        <w:t>An increase in the number of people with early onset dementia receiving services under the National Disability Insurance Scheme (NDIS)</w:t>
      </w:r>
      <w:r w:rsidR="00D05816" w:rsidRPr="009300C3">
        <w:rPr>
          <w:rFonts w:asciiTheme="minorHAnsi" w:hAnsiTheme="minorHAnsi" w:cstheme="minorHAnsi"/>
          <w:lang w:val="en-AU"/>
        </w:rPr>
        <w:t>.</w:t>
      </w:r>
    </w:p>
    <w:p w14:paraId="5C3C94D4" w14:textId="75AAAEBE" w:rsidR="001E0BB8" w:rsidRPr="009300C3" w:rsidRDefault="001E0BB8" w:rsidP="00801976">
      <w:pPr>
        <w:pStyle w:val="ListParagraph"/>
        <w:numPr>
          <w:ilvl w:val="0"/>
          <w:numId w:val="15"/>
        </w:numPr>
        <w:rPr>
          <w:rFonts w:asciiTheme="minorHAnsi" w:hAnsiTheme="minorHAnsi" w:cstheme="minorHAnsi"/>
          <w:lang w:val="en-AU"/>
        </w:rPr>
      </w:pPr>
      <w:r w:rsidRPr="009300C3">
        <w:rPr>
          <w:rFonts w:asciiTheme="minorHAnsi" w:hAnsiTheme="minorHAnsi" w:cstheme="minorHAnsi"/>
          <w:lang w:val="en-AU"/>
        </w:rPr>
        <w:t>Improved access to assistive technology for people with dementia who are excluded from the NDIS.</w:t>
      </w:r>
    </w:p>
    <w:p w14:paraId="49DCD5C9" w14:textId="3017357D" w:rsidR="00A2760A" w:rsidRPr="009300C3" w:rsidRDefault="001E0BB8" w:rsidP="000E4CB1">
      <w:pPr>
        <w:pStyle w:val="HeadingNew"/>
        <w:rPr>
          <w:lang w:val="en-AU"/>
        </w:rPr>
      </w:pPr>
      <w:r w:rsidRPr="009300C3">
        <w:rPr>
          <w:lang w:val="en-AU"/>
        </w:rPr>
        <w:lastRenderedPageBreak/>
        <w:t>Summary of recommendations</w:t>
      </w:r>
    </w:p>
    <w:p w14:paraId="1498698A" w14:textId="4BB41345" w:rsidR="00576D07"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Department</w:t>
      </w:r>
      <w:r w:rsidR="00E27F7F" w:rsidRPr="009300C3">
        <w:rPr>
          <w:rFonts w:asciiTheme="minorHAnsi" w:hAnsiTheme="minorHAnsi" w:cstheme="minorHAnsi"/>
          <w:lang w:val="en-AU"/>
        </w:rPr>
        <w:t xml:space="preserve"> </w:t>
      </w:r>
      <w:r w:rsidRPr="009300C3">
        <w:rPr>
          <w:rFonts w:asciiTheme="minorHAnsi" w:hAnsiTheme="minorHAnsi" w:cstheme="minorHAnsi"/>
          <w:lang w:val="en-AU"/>
        </w:rPr>
        <w:t>must ensure the National Dementia Action Plan contributes to key deliverables relating to the health and wellbeing of people with disability as outlined under Australia’s Disability Strategy 2021-31.</w:t>
      </w:r>
      <w:r w:rsidRPr="009300C3">
        <w:rPr>
          <w:rFonts w:asciiTheme="minorHAnsi" w:hAnsiTheme="minorHAnsi" w:cstheme="minorHAnsi"/>
          <w:lang w:val="en-AU"/>
        </w:rPr>
        <w:br/>
      </w:r>
    </w:p>
    <w:p w14:paraId="0860EB86" w14:textId="2135FEC7" w:rsidR="00576D07"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Department must consider how the National Dementia Action Plan can be used to increase the capacity of staff working across the health and community care sectors to provide services that are accessible, inclusive</w:t>
      </w:r>
      <w:r w:rsidR="00E27F7F" w:rsidRPr="009300C3">
        <w:rPr>
          <w:rFonts w:asciiTheme="minorHAnsi" w:hAnsiTheme="minorHAnsi" w:cstheme="minorHAnsi"/>
          <w:lang w:val="en-AU"/>
        </w:rPr>
        <w:t>,</w:t>
      </w:r>
      <w:r w:rsidRPr="009300C3">
        <w:rPr>
          <w:rFonts w:asciiTheme="minorHAnsi" w:hAnsiTheme="minorHAnsi" w:cstheme="minorHAnsi"/>
          <w:lang w:val="en-AU"/>
        </w:rPr>
        <w:t xml:space="preserve"> and responsive to the needs of people with disability.</w:t>
      </w:r>
      <w:r w:rsidRPr="009300C3">
        <w:rPr>
          <w:rFonts w:asciiTheme="minorHAnsi" w:hAnsiTheme="minorHAnsi" w:cstheme="minorHAnsi"/>
          <w:lang w:val="en-AU"/>
        </w:rPr>
        <w:br/>
      </w:r>
    </w:p>
    <w:p w14:paraId="5CA99A3D" w14:textId="2D072EA5" w:rsidR="00576D07"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Department must consider how the National Dementia Action Plan can be used to drive increased availability of dementia-related information in accessible formats such as Braille, Easy Read</w:t>
      </w:r>
      <w:r w:rsidR="000324C0" w:rsidRPr="009300C3">
        <w:rPr>
          <w:rFonts w:asciiTheme="minorHAnsi" w:hAnsiTheme="minorHAnsi" w:cstheme="minorHAnsi"/>
          <w:lang w:val="en-AU"/>
        </w:rPr>
        <w:t>,</w:t>
      </w:r>
      <w:r w:rsidRPr="009300C3">
        <w:rPr>
          <w:rFonts w:asciiTheme="minorHAnsi" w:hAnsiTheme="minorHAnsi" w:cstheme="minorHAnsi"/>
          <w:lang w:val="en-AU"/>
        </w:rPr>
        <w:t xml:space="preserve"> and Australian sign language.</w:t>
      </w:r>
      <w:r w:rsidRPr="009300C3">
        <w:rPr>
          <w:rFonts w:asciiTheme="minorHAnsi" w:hAnsiTheme="minorHAnsi" w:cstheme="minorHAnsi"/>
          <w:lang w:val="en-AU"/>
        </w:rPr>
        <w:br/>
      </w:r>
    </w:p>
    <w:p w14:paraId="004C9602" w14:textId="49788518" w:rsidR="00576D07"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Department must be directed to undertake targeted consultation with people with disability and their representative organisations to identify and eliminate barriers to accessing dementia related information and services.</w:t>
      </w:r>
      <w:r w:rsidRPr="009300C3">
        <w:rPr>
          <w:rFonts w:asciiTheme="minorHAnsi" w:hAnsiTheme="minorHAnsi" w:cstheme="minorHAnsi"/>
          <w:lang w:val="en-AU"/>
        </w:rPr>
        <w:br/>
      </w:r>
    </w:p>
    <w:p w14:paraId="37EF9AB3" w14:textId="66E4398C" w:rsidR="00576D07"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 xml:space="preserve">The Department must work directly with Down Syndrome Australia to further refine aspects of the National Dementia Action </w:t>
      </w:r>
      <w:r w:rsidR="000324C0" w:rsidRPr="009300C3">
        <w:rPr>
          <w:rFonts w:asciiTheme="minorHAnsi" w:hAnsiTheme="minorHAnsi" w:cstheme="minorHAnsi"/>
          <w:lang w:val="en-AU"/>
        </w:rPr>
        <w:t>P</w:t>
      </w:r>
      <w:r w:rsidRPr="009300C3">
        <w:rPr>
          <w:rFonts w:asciiTheme="minorHAnsi" w:hAnsiTheme="minorHAnsi" w:cstheme="minorHAnsi"/>
          <w:lang w:val="en-AU"/>
        </w:rPr>
        <w:t>lan relating to the prevention, care</w:t>
      </w:r>
      <w:r w:rsidR="000324C0" w:rsidRPr="009300C3">
        <w:rPr>
          <w:rFonts w:asciiTheme="minorHAnsi" w:hAnsiTheme="minorHAnsi" w:cstheme="minorHAnsi"/>
          <w:lang w:val="en-AU"/>
        </w:rPr>
        <w:t>,</w:t>
      </w:r>
      <w:r w:rsidRPr="009300C3">
        <w:rPr>
          <w:rFonts w:asciiTheme="minorHAnsi" w:hAnsiTheme="minorHAnsi" w:cstheme="minorHAnsi"/>
          <w:lang w:val="en-AU"/>
        </w:rPr>
        <w:t xml:space="preserve"> and treatment of people with Down Syndrome who are at risk of, or who already have a diagnosis of dementia.</w:t>
      </w:r>
      <w:r w:rsidRPr="009300C3">
        <w:rPr>
          <w:rFonts w:asciiTheme="minorHAnsi" w:hAnsiTheme="minorHAnsi" w:cstheme="minorHAnsi"/>
          <w:lang w:val="en-AU"/>
        </w:rPr>
        <w:br/>
      </w:r>
    </w:p>
    <w:p w14:paraId="7879184D" w14:textId="6799A91B" w:rsidR="005F585B"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Department must engage directly with Brain Injury Australia as it seeks to further develop and refine aspects of the National Dementia Action Plan relating to the prevention, care</w:t>
      </w:r>
      <w:r w:rsidR="000324C0" w:rsidRPr="009300C3">
        <w:rPr>
          <w:rFonts w:asciiTheme="minorHAnsi" w:hAnsiTheme="minorHAnsi" w:cstheme="minorHAnsi"/>
          <w:lang w:val="en-AU"/>
        </w:rPr>
        <w:t>,</w:t>
      </w:r>
      <w:r w:rsidRPr="009300C3">
        <w:rPr>
          <w:rFonts w:asciiTheme="minorHAnsi" w:hAnsiTheme="minorHAnsi" w:cstheme="minorHAnsi"/>
          <w:lang w:val="en-AU"/>
        </w:rPr>
        <w:t xml:space="preserve"> and treatment of dementia for people with brain injury.</w:t>
      </w:r>
      <w:r w:rsidR="005F585B" w:rsidRPr="009300C3">
        <w:rPr>
          <w:rFonts w:asciiTheme="minorHAnsi" w:hAnsiTheme="minorHAnsi" w:cstheme="minorHAnsi"/>
          <w:lang w:val="en-AU"/>
        </w:rPr>
        <w:br/>
      </w:r>
    </w:p>
    <w:p w14:paraId="6803F84B" w14:textId="65262EF2" w:rsidR="005F585B"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Department must consider how the National Dementia Action Plan can be used to uphold and strengthen the right to supported decision-making in the context of dementia</w:t>
      </w:r>
      <w:r w:rsidR="000324C0" w:rsidRPr="009300C3">
        <w:rPr>
          <w:rFonts w:asciiTheme="minorHAnsi" w:hAnsiTheme="minorHAnsi" w:cstheme="minorHAnsi"/>
          <w:lang w:val="en-AU"/>
        </w:rPr>
        <w:t xml:space="preserve"> </w:t>
      </w:r>
      <w:r w:rsidRPr="009300C3">
        <w:rPr>
          <w:rFonts w:asciiTheme="minorHAnsi" w:hAnsiTheme="minorHAnsi" w:cstheme="minorHAnsi"/>
          <w:lang w:val="en-AU"/>
        </w:rPr>
        <w:t>care. In particular, it must require the Department to work collaboratively with civil society and all arms of Government to establish a national policy and legislative framework for supported decision-making</w:t>
      </w:r>
      <w:r w:rsidR="00085A4F">
        <w:rPr>
          <w:rFonts w:asciiTheme="minorHAnsi" w:hAnsiTheme="minorHAnsi" w:cstheme="minorHAnsi"/>
          <w:lang w:val="en-AU"/>
        </w:rPr>
        <w:t xml:space="preserve"> across all settings; including health, disability and aged care</w:t>
      </w:r>
      <w:r w:rsidRPr="009300C3">
        <w:rPr>
          <w:rFonts w:asciiTheme="minorHAnsi" w:hAnsiTheme="minorHAnsi" w:cstheme="minorHAnsi"/>
          <w:lang w:val="en-AU"/>
        </w:rPr>
        <w:t>.</w:t>
      </w:r>
      <w:r w:rsidR="005F585B" w:rsidRPr="009300C3">
        <w:rPr>
          <w:rFonts w:asciiTheme="minorHAnsi" w:hAnsiTheme="minorHAnsi" w:cstheme="minorHAnsi"/>
          <w:lang w:val="en-AU"/>
        </w:rPr>
        <w:br/>
      </w:r>
    </w:p>
    <w:p w14:paraId="63BFC240" w14:textId="3C2B152C" w:rsidR="005F585B"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 xml:space="preserve">The vision and purpose of the National Dementia Action Plan must reflect the need for people with dementia to be safeguarded from violence, </w:t>
      </w:r>
      <w:r w:rsidR="000324C0" w:rsidRPr="009300C3">
        <w:rPr>
          <w:rFonts w:asciiTheme="minorHAnsi" w:hAnsiTheme="minorHAnsi" w:cstheme="minorHAnsi"/>
          <w:lang w:val="en-AU"/>
        </w:rPr>
        <w:t>abuse,</w:t>
      </w:r>
      <w:r w:rsidRPr="009300C3">
        <w:rPr>
          <w:rFonts w:asciiTheme="minorHAnsi" w:hAnsiTheme="minorHAnsi" w:cstheme="minorHAnsi"/>
          <w:lang w:val="en-AU"/>
        </w:rPr>
        <w:t xml:space="preserve"> and neglect.</w:t>
      </w:r>
      <w:r w:rsidR="005F585B" w:rsidRPr="009300C3">
        <w:rPr>
          <w:rFonts w:asciiTheme="minorHAnsi" w:hAnsiTheme="minorHAnsi" w:cstheme="minorHAnsi"/>
          <w:lang w:val="en-AU"/>
        </w:rPr>
        <w:br/>
      </w:r>
    </w:p>
    <w:p w14:paraId="701BF280" w14:textId="10051ED9" w:rsidR="005F585B"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 xml:space="preserve">The Department must consider how the National Dementia Action Plan will intersect with the next National </w:t>
      </w:r>
      <w:r w:rsidR="000324C0" w:rsidRPr="009300C3">
        <w:rPr>
          <w:rFonts w:asciiTheme="minorHAnsi" w:hAnsiTheme="minorHAnsi" w:cstheme="minorHAnsi"/>
          <w:lang w:val="en-AU"/>
        </w:rPr>
        <w:t>P</w:t>
      </w:r>
      <w:r w:rsidRPr="009300C3">
        <w:rPr>
          <w:rFonts w:asciiTheme="minorHAnsi" w:hAnsiTheme="minorHAnsi" w:cstheme="minorHAnsi"/>
          <w:lang w:val="en-AU"/>
        </w:rPr>
        <w:t xml:space="preserve">lan to respond to the abuse of older Australians, while setting out actions aimed at safeguarding people with early onset dementia from violence, </w:t>
      </w:r>
      <w:r w:rsidRPr="009300C3">
        <w:rPr>
          <w:rFonts w:asciiTheme="minorHAnsi" w:hAnsiTheme="minorHAnsi" w:cstheme="minorHAnsi"/>
          <w:lang w:val="en-AU"/>
        </w:rPr>
        <w:lastRenderedPageBreak/>
        <w:t>abuse</w:t>
      </w:r>
      <w:r w:rsidR="000324C0" w:rsidRPr="009300C3">
        <w:rPr>
          <w:rFonts w:asciiTheme="minorHAnsi" w:hAnsiTheme="minorHAnsi" w:cstheme="minorHAnsi"/>
          <w:lang w:val="en-AU"/>
        </w:rPr>
        <w:t>,</w:t>
      </w:r>
      <w:r w:rsidRPr="009300C3">
        <w:rPr>
          <w:rFonts w:asciiTheme="minorHAnsi" w:hAnsiTheme="minorHAnsi" w:cstheme="minorHAnsi"/>
          <w:lang w:val="en-AU"/>
        </w:rPr>
        <w:t xml:space="preserve"> and neglect</w:t>
      </w:r>
      <w:r w:rsidR="00816F2A">
        <w:rPr>
          <w:rFonts w:asciiTheme="minorHAnsi" w:hAnsiTheme="minorHAnsi" w:cstheme="minorHAnsi"/>
          <w:lang w:val="en-AU"/>
        </w:rPr>
        <w:t>, and recognising that people with other forms of permanent and severe disability may require additional safeguards</w:t>
      </w:r>
      <w:r w:rsidRPr="009300C3">
        <w:rPr>
          <w:rFonts w:asciiTheme="minorHAnsi" w:hAnsiTheme="minorHAnsi" w:cstheme="minorHAnsi"/>
          <w:lang w:val="en-AU"/>
        </w:rPr>
        <w:t>.</w:t>
      </w:r>
      <w:r w:rsidR="005F585B" w:rsidRPr="009300C3">
        <w:rPr>
          <w:rFonts w:asciiTheme="minorHAnsi" w:hAnsiTheme="minorHAnsi" w:cstheme="minorHAnsi"/>
          <w:lang w:val="en-AU"/>
        </w:rPr>
        <w:br/>
      </w:r>
    </w:p>
    <w:p w14:paraId="42EDA40D" w14:textId="25DD371F" w:rsidR="00576D07" w:rsidRPr="009300C3" w:rsidRDefault="00576D07" w:rsidP="00576D07">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Department must consider how it could work with other arms of Government to implement measures to ensure greater oversight of people with dementia who face increased vulnerability to violence, abuse</w:t>
      </w:r>
      <w:r w:rsidR="000324C0" w:rsidRPr="009300C3">
        <w:rPr>
          <w:rFonts w:asciiTheme="minorHAnsi" w:hAnsiTheme="minorHAnsi" w:cstheme="minorHAnsi"/>
          <w:lang w:val="en-AU"/>
        </w:rPr>
        <w:t>,</w:t>
      </w:r>
      <w:r w:rsidRPr="009300C3">
        <w:rPr>
          <w:rFonts w:asciiTheme="minorHAnsi" w:hAnsiTheme="minorHAnsi" w:cstheme="minorHAnsi"/>
          <w:lang w:val="en-AU"/>
        </w:rPr>
        <w:t xml:space="preserve"> and neglect</w:t>
      </w:r>
      <w:r w:rsidR="00BF0862">
        <w:rPr>
          <w:rFonts w:asciiTheme="minorHAnsi" w:hAnsiTheme="minorHAnsi" w:cstheme="minorHAnsi"/>
          <w:lang w:val="en-AU"/>
        </w:rPr>
        <w:t>, such as people with disability. Such measures might include</w:t>
      </w:r>
      <w:r w:rsidRPr="009300C3">
        <w:rPr>
          <w:rFonts w:asciiTheme="minorHAnsi" w:hAnsiTheme="minorHAnsi" w:cstheme="minorHAnsi"/>
          <w:lang w:val="en-AU"/>
        </w:rPr>
        <w:t>:</w:t>
      </w:r>
    </w:p>
    <w:p w14:paraId="7516A93D" w14:textId="477F7079" w:rsidR="005220F8" w:rsidRPr="009300C3" w:rsidRDefault="005220F8" w:rsidP="005220F8">
      <w:pPr>
        <w:pStyle w:val="ListParagraph"/>
        <w:numPr>
          <w:ilvl w:val="0"/>
          <w:numId w:val="18"/>
        </w:numPr>
        <w:rPr>
          <w:rFonts w:asciiTheme="minorHAnsi" w:hAnsiTheme="minorHAnsi" w:cstheme="minorHAnsi"/>
          <w:lang w:val="en-AU"/>
        </w:rPr>
      </w:pPr>
      <w:r w:rsidRPr="009300C3">
        <w:rPr>
          <w:rFonts w:asciiTheme="minorHAnsi" w:hAnsiTheme="minorHAnsi" w:cstheme="minorHAnsi"/>
          <w:lang w:val="en-AU"/>
        </w:rPr>
        <w:t>A mandatory community visitors scheme.</w:t>
      </w:r>
    </w:p>
    <w:p w14:paraId="0452ED1C" w14:textId="7F0AB097" w:rsidR="005220F8" w:rsidRPr="009300C3" w:rsidRDefault="005220F8" w:rsidP="005220F8">
      <w:pPr>
        <w:pStyle w:val="ListParagraph"/>
        <w:numPr>
          <w:ilvl w:val="0"/>
          <w:numId w:val="18"/>
        </w:numPr>
        <w:rPr>
          <w:rFonts w:asciiTheme="minorHAnsi" w:hAnsiTheme="minorHAnsi" w:cstheme="minorHAnsi"/>
          <w:lang w:val="en-AU"/>
        </w:rPr>
      </w:pPr>
      <w:r w:rsidRPr="009300C3">
        <w:rPr>
          <w:rFonts w:asciiTheme="minorHAnsi" w:hAnsiTheme="minorHAnsi" w:cstheme="minorHAnsi"/>
          <w:lang w:val="en-AU"/>
        </w:rPr>
        <w:t>Mandatory access for advocates.</w:t>
      </w:r>
      <w:r w:rsidRPr="009300C3">
        <w:rPr>
          <w:rFonts w:asciiTheme="minorHAnsi" w:hAnsiTheme="minorHAnsi" w:cstheme="minorHAnsi"/>
          <w:lang w:val="en-AU"/>
        </w:rPr>
        <w:br/>
      </w:r>
    </w:p>
    <w:p w14:paraId="40D0D602" w14:textId="77777777" w:rsidR="005220F8" w:rsidRPr="009300C3" w:rsidRDefault="005220F8" w:rsidP="005220F8">
      <w:pPr>
        <w:pStyle w:val="ListParagraph"/>
        <w:numPr>
          <w:ilvl w:val="0"/>
          <w:numId w:val="16"/>
        </w:numPr>
        <w:rPr>
          <w:rFonts w:asciiTheme="minorHAnsi" w:hAnsiTheme="minorHAnsi" w:cstheme="minorHAnsi"/>
          <w:lang w:val="en-AU"/>
        </w:rPr>
      </w:pPr>
      <w:r w:rsidRPr="009300C3">
        <w:rPr>
          <w:rFonts w:asciiTheme="minorHAnsi" w:hAnsiTheme="minorHAnsi" w:cstheme="minorHAnsi"/>
          <w:lang w:val="en-AU"/>
        </w:rPr>
        <w:t>The National Dementia Action Plan must outline how the government intends to provide equitable access to assistive technology for people with dementia who are not eligible for the NDIS. This includes those receiving in-home care, as well as those living in residential care.</w:t>
      </w:r>
    </w:p>
    <w:p w14:paraId="1CFEC0B4" w14:textId="77777777" w:rsidR="005F585B" w:rsidRPr="009300C3" w:rsidRDefault="005F585B" w:rsidP="005220F8">
      <w:pPr>
        <w:pStyle w:val="ListParagraph"/>
        <w:numPr>
          <w:ilvl w:val="0"/>
          <w:numId w:val="0"/>
        </w:numPr>
        <w:ind w:left="360"/>
        <w:rPr>
          <w:rFonts w:asciiTheme="minorHAnsi" w:hAnsiTheme="minorHAnsi" w:cstheme="minorHAnsi"/>
          <w:lang w:val="en-AU"/>
        </w:rPr>
      </w:pPr>
    </w:p>
    <w:p w14:paraId="7A24209F" w14:textId="37A4E280" w:rsidR="00576D07" w:rsidRPr="009300C3" w:rsidRDefault="005F585B" w:rsidP="005220F8">
      <w:pPr>
        <w:rPr>
          <w:rFonts w:asciiTheme="minorHAnsi" w:hAnsiTheme="minorHAnsi" w:cstheme="minorHAnsi"/>
          <w:lang w:val="en-AU"/>
        </w:rPr>
      </w:pPr>
      <w:r w:rsidRPr="009300C3">
        <w:rPr>
          <w:rFonts w:asciiTheme="minorHAnsi" w:hAnsiTheme="minorHAnsi" w:cstheme="minorHAnsi"/>
          <w:lang w:val="en-AU"/>
        </w:rPr>
        <w:br/>
      </w:r>
    </w:p>
    <w:p w14:paraId="31ECD60B" w14:textId="77777777" w:rsidR="001F7C5A" w:rsidRPr="009300C3" w:rsidRDefault="001F7C5A" w:rsidP="00057437">
      <w:pPr>
        <w:pStyle w:val="39n3n"/>
        <w:rPr>
          <w:rFonts w:ascii="Calibri Light" w:eastAsia="Cambria" w:hAnsi="Calibri Light"/>
          <w:b/>
          <w:color w:val="006666"/>
          <w:kern w:val="24"/>
          <w:sz w:val="44"/>
          <w:lang w:eastAsia="en-US"/>
        </w:rPr>
      </w:pPr>
    </w:p>
    <w:p w14:paraId="4B882012" w14:textId="77777777" w:rsidR="001F7C5A" w:rsidRPr="009300C3" w:rsidRDefault="001F7C5A" w:rsidP="00057437">
      <w:pPr>
        <w:pStyle w:val="39n3n"/>
        <w:rPr>
          <w:rFonts w:ascii="Calibri Light" w:eastAsia="Cambria" w:hAnsi="Calibri Light"/>
          <w:b/>
          <w:color w:val="006666"/>
          <w:kern w:val="24"/>
          <w:sz w:val="44"/>
          <w:lang w:eastAsia="en-US"/>
        </w:rPr>
      </w:pPr>
    </w:p>
    <w:p w14:paraId="6DDC01F5" w14:textId="77777777" w:rsidR="001F7C5A" w:rsidRPr="009300C3" w:rsidRDefault="001F7C5A" w:rsidP="00057437">
      <w:pPr>
        <w:pStyle w:val="39n3n"/>
        <w:rPr>
          <w:rFonts w:ascii="Calibri Light" w:eastAsia="Cambria" w:hAnsi="Calibri Light"/>
          <w:b/>
          <w:color w:val="006666"/>
          <w:kern w:val="24"/>
          <w:sz w:val="44"/>
          <w:lang w:eastAsia="en-US"/>
        </w:rPr>
      </w:pPr>
    </w:p>
    <w:p w14:paraId="4866A26B" w14:textId="77777777" w:rsidR="001F7C5A" w:rsidRPr="009300C3" w:rsidRDefault="001F7C5A" w:rsidP="00057437">
      <w:pPr>
        <w:pStyle w:val="39n3n"/>
        <w:rPr>
          <w:rFonts w:ascii="Calibri Light" w:eastAsia="Cambria" w:hAnsi="Calibri Light"/>
          <w:b/>
          <w:color w:val="006666"/>
          <w:kern w:val="24"/>
          <w:sz w:val="44"/>
          <w:lang w:eastAsia="en-US"/>
        </w:rPr>
      </w:pPr>
    </w:p>
    <w:p w14:paraId="3A0E078A" w14:textId="77777777" w:rsidR="001F7C5A" w:rsidRPr="009300C3" w:rsidRDefault="001F7C5A" w:rsidP="00057437">
      <w:pPr>
        <w:pStyle w:val="39n3n"/>
        <w:rPr>
          <w:rFonts w:ascii="Calibri Light" w:eastAsia="Cambria" w:hAnsi="Calibri Light"/>
          <w:b/>
          <w:color w:val="006666"/>
          <w:kern w:val="24"/>
          <w:sz w:val="44"/>
          <w:lang w:eastAsia="en-US"/>
        </w:rPr>
      </w:pPr>
    </w:p>
    <w:p w14:paraId="1A310547" w14:textId="77777777" w:rsidR="001F7C5A" w:rsidRPr="009300C3" w:rsidRDefault="001F7C5A" w:rsidP="00057437">
      <w:pPr>
        <w:pStyle w:val="39n3n"/>
        <w:rPr>
          <w:rFonts w:ascii="Calibri Light" w:eastAsia="Cambria" w:hAnsi="Calibri Light"/>
          <w:b/>
          <w:color w:val="006666"/>
          <w:kern w:val="24"/>
          <w:sz w:val="44"/>
          <w:lang w:eastAsia="en-US"/>
        </w:rPr>
      </w:pPr>
    </w:p>
    <w:p w14:paraId="675BBD35" w14:textId="77777777" w:rsidR="001F7C5A" w:rsidRPr="009300C3" w:rsidRDefault="001F7C5A" w:rsidP="00057437">
      <w:pPr>
        <w:pStyle w:val="39n3n"/>
        <w:rPr>
          <w:rFonts w:ascii="Calibri Light" w:eastAsia="Cambria" w:hAnsi="Calibri Light"/>
          <w:b/>
          <w:color w:val="006666"/>
          <w:kern w:val="24"/>
          <w:sz w:val="44"/>
          <w:lang w:eastAsia="en-US"/>
        </w:rPr>
      </w:pPr>
    </w:p>
    <w:p w14:paraId="70BA3B90" w14:textId="77777777" w:rsidR="001F7C5A" w:rsidRPr="009300C3" w:rsidRDefault="001F7C5A" w:rsidP="00057437">
      <w:pPr>
        <w:pStyle w:val="39n3n"/>
        <w:rPr>
          <w:rFonts w:ascii="Calibri Light" w:eastAsia="Cambria" w:hAnsi="Calibri Light"/>
          <w:b/>
          <w:color w:val="006666"/>
          <w:kern w:val="24"/>
          <w:sz w:val="44"/>
          <w:lang w:eastAsia="en-US"/>
        </w:rPr>
      </w:pPr>
    </w:p>
    <w:p w14:paraId="1C1F5FE9" w14:textId="77777777" w:rsidR="001F7C5A" w:rsidRPr="009300C3" w:rsidRDefault="001F7C5A" w:rsidP="00057437">
      <w:pPr>
        <w:pStyle w:val="39n3n"/>
        <w:rPr>
          <w:rFonts w:ascii="Calibri Light" w:eastAsia="Cambria" w:hAnsi="Calibri Light"/>
          <w:b/>
          <w:color w:val="006666"/>
          <w:kern w:val="24"/>
          <w:sz w:val="44"/>
          <w:lang w:eastAsia="en-US"/>
        </w:rPr>
      </w:pPr>
    </w:p>
    <w:p w14:paraId="48BCD63E" w14:textId="77777777" w:rsidR="001F7C5A" w:rsidRPr="009300C3" w:rsidRDefault="001F7C5A" w:rsidP="00057437">
      <w:pPr>
        <w:pStyle w:val="39n3n"/>
        <w:rPr>
          <w:rFonts w:ascii="Calibri Light" w:eastAsia="Cambria" w:hAnsi="Calibri Light"/>
          <w:b/>
          <w:color w:val="006666"/>
          <w:kern w:val="24"/>
          <w:sz w:val="44"/>
          <w:lang w:eastAsia="en-US"/>
        </w:rPr>
      </w:pPr>
    </w:p>
    <w:p w14:paraId="6E1B804C" w14:textId="077D853B" w:rsidR="001F7C5A" w:rsidRPr="009300C3" w:rsidRDefault="001F7C5A" w:rsidP="0069298B">
      <w:pPr>
        <w:pStyle w:val="HeadingNew"/>
        <w:rPr>
          <w:lang w:val="en-AU"/>
        </w:rPr>
      </w:pPr>
      <w:r w:rsidRPr="009300C3">
        <w:rPr>
          <w:lang w:val="en-AU"/>
        </w:rPr>
        <w:lastRenderedPageBreak/>
        <w:t>Considering how the Action Plan will intersect with Australia’s Disability Strategy 2021-31</w:t>
      </w:r>
    </w:p>
    <w:p w14:paraId="3761C1AA" w14:textId="4925E1D5" w:rsidR="0069298B" w:rsidRPr="009300C3" w:rsidRDefault="0069298B" w:rsidP="00F87CA6">
      <w:pPr>
        <w:spacing w:before="120"/>
        <w:rPr>
          <w:rFonts w:asciiTheme="minorHAnsi" w:hAnsiTheme="minorHAnsi" w:cstheme="minorHAnsi"/>
          <w:lang w:val="en-AU"/>
        </w:rPr>
      </w:pPr>
      <w:r w:rsidRPr="009300C3">
        <w:rPr>
          <w:rFonts w:asciiTheme="minorHAnsi" w:hAnsiTheme="minorHAnsi" w:cstheme="minorHAnsi"/>
          <w:lang w:val="en-AU"/>
        </w:rPr>
        <w:t>We encourage the Department to consider how the National Dementia Action Plan will intersect with Australia’s Disability Strategy 2021-31, and how it may be used to drive change under this strategy.</w:t>
      </w:r>
    </w:p>
    <w:p w14:paraId="3C4F649C" w14:textId="77777777" w:rsidR="0069298B" w:rsidRPr="009300C3" w:rsidRDefault="0069298B" w:rsidP="00F87CA6">
      <w:pPr>
        <w:spacing w:before="120"/>
        <w:rPr>
          <w:rFonts w:asciiTheme="minorHAnsi" w:hAnsiTheme="minorHAnsi" w:cstheme="minorHAnsi"/>
          <w:lang w:val="en-AU"/>
        </w:rPr>
      </w:pPr>
      <w:r w:rsidRPr="009300C3">
        <w:rPr>
          <w:rFonts w:asciiTheme="minorHAnsi" w:hAnsiTheme="minorHAnsi" w:cstheme="minorHAnsi"/>
          <w:lang w:val="en-AU"/>
        </w:rPr>
        <w:t>Notably, outcome area six referenced under Australia’s Disability Strategy requires that:</w:t>
      </w:r>
    </w:p>
    <w:p w14:paraId="6979BB7F" w14:textId="12C2A4B1" w:rsidR="0069298B" w:rsidRPr="009300C3" w:rsidRDefault="0069298B" w:rsidP="00F87CA6">
      <w:pPr>
        <w:pStyle w:val="OutcomeOutcomeSection"/>
        <w:spacing w:before="120" w:after="200"/>
        <w:ind w:left="720"/>
        <w:rPr>
          <w:rFonts w:asciiTheme="minorHAnsi" w:eastAsia="Cambria" w:hAnsiTheme="minorHAnsi" w:cstheme="minorHAnsi"/>
          <w:i/>
          <w:iCs/>
          <w:color w:val="auto"/>
          <w:kern w:val="24"/>
          <w:sz w:val="24"/>
          <w:szCs w:val="24"/>
          <w:lang w:val="en-AU"/>
        </w:rPr>
      </w:pPr>
      <w:r w:rsidRPr="009300C3">
        <w:rPr>
          <w:rFonts w:asciiTheme="minorHAnsi" w:eastAsia="Cambria" w:hAnsiTheme="minorHAnsi" w:cstheme="minorHAnsi"/>
          <w:i/>
          <w:iCs/>
          <w:color w:val="auto"/>
          <w:kern w:val="24"/>
          <w:sz w:val="24"/>
          <w:szCs w:val="24"/>
          <w:lang w:val="en-AU"/>
        </w:rPr>
        <w:t>“People with disability attain the highest possible health and wellbeing outcomes throughout their lives</w:t>
      </w:r>
      <w:r w:rsidR="00F87CA6" w:rsidRPr="009300C3">
        <w:rPr>
          <w:rFonts w:asciiTheme="minorHAnsi" w:eastAsia="Cambria" w:hAnsiTheme="minorHAnsi" w:cstheme="minorHAnsi"/>
          <w:i/>
          <w:iCs/>
          <w:color w:val="auto"/>
          <w:kern w:val="24"/>
          <w:sz w:val="24"/>
          <w:szCs w:val="24"/>
          <w:lang w:val="en-AU"/>
        </w:rPr>
        <w:t>.</w:t>
      </w:r>
      <w:r w:rsidRPr="009300C3">
        <w:rPr>
          <w:rFonts w:asciiTheme="minorHAnsi" w:eastAsia="Cambria" w:hAnsiTheme="minorHAnsi" w:cstheme="minorHAnsi"/>
          <w:i/>
          <w:iCs/>
          <w:color w:val="auto"/>
          <w:kern w:val="24"/>
          <w:sz w:val="24"/>
          <w:szCs w:val="24"/>
          <w:lang w:val="en-AU"/>
        </w:rPr>
        <w:t>”</w:t>
      </w:r>
    </w:p>
    <w:p w14:paraId="7E1AD624" w14:textId="6B6CF205" w:rsidR="0069298B" w:rsidRPr="009300C3" w:rsidRDefault="0069298B" w:rsidP="00F87CA6">
      <w:pPr>
        <w:pStyle w:val="OutcomeOutcomeSection"/>
        <w:spacing w:before="120" w:after="200"/>
        <w:ind w:left="0"/>
        <w:rPr>
          <w:rFonts w:asciiTheme="minorHAnsi" w:eastAsia="Cambria" w:hAnsiTheme="minorHAnsi" w:cstheme="minorHAnsi"/>
          <w:color w:val="auto"/>
          <w:kern w:val="24"/>
          <w:sz w:val="24"/>
          <w:szCs w:val="24"/>
          <w:lang w:val="en-AU"/>
        </w:rPr>
      </w:pPr>
      <w:r w:rsidRPr="009300C3">
        <w:rPr>
          <w:rFonts w:asciiTheme="minorHAnsi" w:eastAsia="Cambria" w:hAnsiTheme="minorHAnsi" w:cstheme="minorHAnsi"/>
          <w:color w:val="auto"/>
          <w:kern w:val="24"/>
          <w:sz w:val="24"/>
          <w:szCs w:val="24"/>
          <w:lang w:val="en-AU"/>
        </w:rPr>
        <w:t>The following relevant policy priorities are referenced underneath this outcome area:</w:t>
      </w:r>
    </w:p>
    <w:p w14:paraId="66962F91" w14:textId="41ACB1A7" w:rsidR="0069298B" w:rsidRPr="000D72DF" w:rsidRDefault="0069298B" w:rsidP="00F87CA6">
      <w:pPr>
        <w:pStyle w:val="ListBullet"/>
        <w:numPr>
          <w:ilvl w:val="0"/>
          <w:numId w:val="20"/>
        </w:numPr>
        <w:spacing w:before="120"/>
        <w:rPr>
          <w:rFonts w:asciiTheme="minorHAnsi" w:hAnsiTheme="minorHAnsi" w:cstheme="minorHAnsi"/>
          <w:color w:val="auto"/>
          <w:sz w:val="24"/>
          <w:szCs w:val="24"/>
          <w:lang w:val="en-AU"/>
        </w:rPr>
      </w:pPr>
      <w:r w:rsidRPr="000D72DF">
        <w:rPr>
          <w:rFonts w:asciiTheme="minorHAnsi" w:hAnsiTheme="minorHAnsi" w:cstheme="minorHAnsi"/>
          <w:color w:val="auto"/>
          <w:sz w:val="24"/>
          <w:szCs w:val="24"/>
          <w:lang w:val="en-AU"/>
        </w:rPr>
        <w:t>“All health service providers have the capabilities to meet the needs of people with disability</w:t>
      </w:r>
      <w:r w:rsidR="0061690C" w:rsidRPr="000D72DF">
        <w:rPr>
          <w:rFonts w:asciiTheme="minorHAnsi" w:hAnsiTheme="minorHAnsi" w:cstheme="minorHAnsi"/>
          <w:color w:val="auto"/>
          <w:sz w:val="24"/>
          <w:szCs w:val="24"/>
          <w:lang w:val="en-AU"/>
        </w:rPr>
        <w:t>.</w:t>
      </w:r>
      <w:r w:rsidRPr="000D72DF">
        <w:rPr>
          <w:rFonts w:asciiTheme="minorHAnsi" w:hAnsiTheme="minorHAnsi" w:cstheme="minorHAnsi"/>
          <w:color w:val="auto"/>
          <w:sz w:val="24"/>
          <w:szCs w:val="24"/>
          <w:lang w:val="en-AU"/>
        </w:rPr>
        <w:t>”</w:t>
      </w:r>
    </w:p>
    <w:p w14:paraId="19991E59" w14:textId="36FBF3AA" w:rsidR="0069298B" w:rsidRPr="000D72DF" w:rsidRDefault="0069298B" w:rsidP="00F87CA6">
      <w:pPr>
        <w:pStyle w:val="ListBullet"/>
        <w:numPr>
          <w:ilvl w:val="0"/>
          <w:numId w:val="20"/>
        </w:numPr>
        <w:spacing w:before="120"/>
        <w:rPr>
          <w:rFonts w:asciiTheme="minorHAnsi" w:hAnsiTheme="minorHAnsi" w:cstheme="minorHAnsi"/>
          <w:color w:val="auto"/>
          <w:sz w:val="24"/>
          <w:szCs w:val="24"/>
          <w:lang w:val="en-AU"/>
        </w:rPr>
      </w:pPr>
      <w:r w:rsidRPr="000D72DF">
        <w:rPr>
          <w:rFonts w:asciiTheme="minorHAnsi" w:hAnsiTheme="minorHAnsi" w:cstheme="minorHAnsi"/>
          <w:color w:val="auto"/>
          <w:sz w:val="24"/>
          <w:szCs w:val="24"/>
          <w:lang w:val="en-AU"/>
        </w:rPr>
        <w:t>“Prevention and early intervention health services are timely, comprehensive, appropriate and effective to support better overall health and wellbeing</w:t>
      </w:r>
      <w:r w:rsidR="0061690C" w:rsidRPr="000D72DF">
        <w:rPr>
          <w:rFonts w:asciiTheme="minorHAnsi" w:hAnsiTheme="minorHAnsi" w:cstheme="minorHAnsi"/>
          <w:color w:val="auto"/>
          <w:sz w:val="24"/>
          <w:szCs w:val="24"/>
          <w:lang w:val="en-AU"/>
        </w:rPr>
        <w:t>.</w:t>
      </w:r>
      <w:r w:rsidRPr="000D72DF">
        <w:rPr>
          <w:rFonts w:asciiTheme="minorHAnsi" w:hAnsiTheme="minorHAnsi" w:cstheme="minorHAnsi"/>
          <w:color w:val="auto"/>
          <w:sz w:val="24"/>
          <w:szCs w:val="24"/>
          <w:lang w:val="en-AU"/>
        </w:rPr>
        <w:t>”</w:t>
      </w:r>
    </w:p>
    <w:p w14:paraId="586F5D32" w14:textId="22B1DBBB" w:rsidR="0069298B" w:rsidRPr="009300C3" w:rsidRDefault="0069298B" w:rsidP="00F87CA6">
      <w:pPr>
        <w:pStyle w:val="OutcomeOutcomeSection"/>
        <w:spacing w:before="120" w:after="200"/>
        <w:ind w:left="0"/>
        <w:rPr>
          <w:rFonts w:asciiTheme="minorHAnsi" w:eastAsia="Cambria" w:hAnsiTheme="minorHAnsi" w:cstheme="minorHAnsi"/>
          <w:color w:val="auto"/>
          <w:kern w:val="24"/>
          <w:sz w:val="24"/>
          <w:szCs w:val="24"/>
          <w:lang w:val="en-AU"/>
        </w:rPr>
      </w:pPr>
      <w:r w:rsidRPr="009300C3">
        <w:rPr>
          <w:rFonts w:asciiTheme="minorHAnsi" w:eastAsia="Cambria" w:hAnsiTheme="minorHAnsi" w:cstheme="minorHAnsi"/>
          <w:color w:val="auto"/>
          <w:kern w:val="24"/>
          <w:sz w:val="24"/>
          <w:szCs w:val="24"/>
          <w:lang w:val="en-AU"/>
        </w:rPr>
        <w:t xml:space="preserve">We recommend the Department review the aforementioned components of Australia’s </w:t>
      </w:r>
      <w:r w:rsidR="0061690C" w:rsidRPr="009300C3">
        <w:rPr>
          <w:rFonts w:asciiTheme="minorHAnsi" w:eastAsia="Cambria" w:hAnsiTheme="minorHAnsi" w:cstheme="minorHAnsi"/>
          <w:color w:val="auto"/>
          <w:kern w:val="24"/>
          <w:sz w:val="24"/>
          <w:szCs w:val="24"/>
          <w:lang w:val="en-AU"/>
        </w:rPr>
        <w:t>D</w:t>
      </w:r>
      <w:r w:rsidRPr="009300C3">
        <w:rPr>
          <w:rFonts w:asciiTheme="minorHAnsi" w:eastAsia="Cambria" w:hAnsiTheme="minorHAnsi" w:cstheme="minorHAnsi"/>
          <w:color w:val="auto"/>
          <w:kern w:val="24"/>
          <w:sz w:val="24"/>
          <w:szCs w:val="24"/>
          <w:lang w:val="en-AU"/>
        </w:rPr>
        <w:t>isability Strategy, and the accompanying outcomes framework for the strategy as it continues to further develop and refine the National Dementia Action Plan.</w:t>
      </w:r>
    </w:p>
    <w:p w14:paraId="03405685" w14:textId="58BBB987" w:rsidR="0069298B" w:rsidRPr="009300C3" w:rsidRDefault="0069298B" w:rsidP="00F87CA6">
      <w:pPr>
        <w:pStyle w:val="OutcomeOutcomeSection"/>
        <w:spacing w:before="120" w:after="200"/>
        <w:ind w:left="0"/>
        <w:rPr>
          <w:rFonts w:asciiTheme="minorHAnsi" w:eastAsia="Cambria" w:hAnsiTheme="minorHAnsi" w:cstheme="minorHAnsi"/>
          <w:b/>
          <w:bCs/>
          <w:color w:val="auto"/>
          <w:kern w:val="24"/>
          <w:sz w:val="24"/>
          <w:szCs w:val="24"/>
          <w:lang w:val="en-AU"/>
        </w:rPr>
      </w:pPr>
      <w:r w:rsidRPr="009300C3">
        <w:rPr>
          <w:rFonts w:asciiTheme="minorHAnsi" w:eastAsia="Cambria" w:hAnsiTheme="minorHAnsi" w:cstheme="minorHAnsi"/>
          <w:b/>
          <w:bCs/>
          <w:color w:val="auto"/>
          <w:kern w:val="24"/>
          <w:sz w:val="24"/>
          <w:szCs w:val="24"/>
          <w:lang w:val="en-AU"/>
        </w:rPr>
        <w:t>Recommendation 1:</w:t>
      </w:r>
      <w:r w:rsidR="00F87CA6" w:rsidRPr="009300C3">
        <w:rPr>
          <w:rFonts w:asciiTheme="minorHAnsi" w:eastAsia="Cambria" w:hAnsiTheme="minorHAnsi" w:cstheme="minorHAnsi"/>
          <w:b/>
          <w:bCs/>
          <w:color w:val="auto"/>
          <w:kern w:val="24"/>
          <w:sz w:val="24"/>
          <w:szCs w:val="24"/>
          <w:lang w:val="en-AU"/>
        </w:rPr>
        <w:t xml:space="preserve"> </w:t>
      </w:r>
      <w:r w:rsidRPr="009300C3">
        <w:rPr>
          <w:rFonts w:asciiTheme="minorHAnsi" w:eastAsia="Cambria" w:hAnsiTheme="minorHAnsi" w:cstheme="minorHAnsi"/>
          <w:color w:val="auto"/>
          <w:kern w:val="24"/>
          <w:sz w:val="24"/>
          <w:szCs w:val="24"/>
          <w:lang w:val="en-AU"/>
        </w:rPr>
        <w:t>The Department of Health must ensure the National Dementia Action Plan contributes to key deliverables relating to the health and wellbeing of people with disability as outlined under Australia’s Disability Strategy 2021-31.</w:t>
      </w:r>
    </w:p>
    <w:p w14:paraId="5643D1DB" w14:textId="77777777" w:rsidR="0069298B" w:rsidRPr="009300C3" w:rsidRDefault="0069298B" w:rsidP="0069298B">
      <w:pPr>
        <w:rPr>
          <w:rFonts w:asciiTheme="minorHAnsi" w:hAnsiTheme="minorHAnsi" w:cstheme="minorHAnsi"/>
          <w:lang w:val="en-AU"/>
        </w:rPr>
      </w:pPr>
    </w:p>
    <w:p w14:paraId="756CE9C5" w14:textId="1C4762F0" w:rsidR="0069298B" w:rsidRPr="009300C3" w:rsidRDefault="0069298B" w:rsidP="0061690C">
      <w:pPr>
        <w:pStyle w:val="39n3n"/>
        <w:rPr>
          <w:rFonts w:asciiTheme="minorHAnsi" w:eastAsia="Cambria" w:hAnsiTheme="minorHAnsi" w:cstheme="minorHAnsi"/>
          <w:b/>
          <w:color w:val="006666"/>
          <w:kern w:val="24"/>
          <w:lang w:eastAsia="en-US"/>
        </w:rPr>
      </w:pPr>
    </w:p>
    <w:p w14:paraId="79AB4808" w14:textId="3AF7599C" w:rsidR="0061690C" w:rsidRPr="009300C3" w:rsidRDefault="0061690C" w:rsidP="0061690C">
      <w:pPr>
        <w:pStyle w:val="39n3n"/>
        <w:rPr>
          <w:rFonts w:asciiTheme="minorHAnsi" w:eastAsia="Cambria" w:hAnsiTheme="minorHAnsi" w:cstheme="minorHAnsi"/>
          <w:b/>
          <w:color w:val="006666"/>
          <w:kern w:val="24"/>
          <w:lang w:eastAsia="en-US"/>
        </w:rPr>
      </w:pPr>
    </w:p>
    <w:p w14:paraId="3E359581" w14:textId="28B55BEB" w:rsidR="0061690C" w:rsidRPr="009300C3" w:rsidRDefault="0061690C" w:rsidP="0061690C">
      <w:pPr>
        <w:pStyle w:val="39n3n"/>
        <w:rPr>
          <w:rFonts w:asciiTheme="minorHAnsi" w:eastAsia="Cambria" w:hAnsiTheme="minorHAnsi" w:cstheme="minorHAnsi"/>
          <w:b/>
          <w:color w:val="006666"/>
          <w:kern w:val="24"/>
          <w:lang w:eastAsia="en-US"/>
        </w:rPr>
      </w:pPr>
    </w:p>
    <w:p w14:paraId="509408FB" w14:textId="5A297161" w:rsidR="0061690C" w:rsidRPr="009300C3" w:rsidRDefault="0061690C" w:rsidP="0061690C">
      <w:pPr>
        <w:pStyle w:val="39n3n"/>
        <w:rPr>
          <w:rFonts w:asciiTheme="minorHAnsi" w:eastAsia="Cambria" w:hAnsiTheme="minorHAnsi" w:cstheme="minorHAnsi"/>
          <w:b/>
          <w:color w:val="006666"/>
          <w:kern w:val="24"/>
          <w:lang w:eastAsia="en-US"/>
        </w:rPr>
      </w:pPr>
    </w:p>
    <w:p w14:paraId="02EF7B2C" w14:textId="3854EDCC" w:rsidR="0061690C" w:rsidRPr="009300C3" w:rsidRDefault="0061690C" w:rsidP="0061690C">
      <w:pPr>
        <w:pStyle w:val="39n3n"/>
        <w:rPr>
          <w:rFonts w:asciiTheme="minorHAnsi" w:eastAsia="Cambria" w:hAnsiTheme="minorHAnsi" w:cstheme="minorHAnsi"/>
          <w:b/>
          <w:color w:val="006666"/>
          <w:kern w:val="24"/>
          <w:lang w:eastAsia="en-US"/>
        </w:rPr>
      </w:pPr>
    </w:p>
    <w:p w14:paraId="2D338866" w14:textId="2D048101" w:rsidR="0061690C" w:rsidRPr="009300C3" w:rsidRDefault="0061690C" w:rsidP="0061690C">
      <w:pPr>
        <w:pStyle w:val="39n3n"/>
        <w:rPr>
          <w:rFonts w:asciiTheme="minorHAnsi" w:eastAsia="Cambria" w:hAnsiTheme="minorHAnsi" w:cstheme="minorHAnsi"/>
          <w:b/>
          <w:color w:val="006666"/>
          <w:kern w:val="24"/>
          <w:lang w:eastAsia="en-US"/>
        </w:rPr>
      </w:pPr>
    </w:p>
    <w:p w14:paraId="20D5D5F0" w14:textId="467D121B" w:rsidR="0061690C" w:rsidRPr="009300C3" w:rsidRDefault="0061690C" w:rsidP="0061690C">
      <w:pPr>
        <w:pStyle w:val="39n3n"/>
        <w:rPr>
          <w:rFonts w:asciiTheme="minorHAnsi" w:eastAsia="Cambria" w:hAnsiTheme="minorHAnsi" w:cstheme="minorHAnsi"/>
          <w:b/>
          <w:color w:val="006666"/>
          <w:kern w:val="24"/>
          <w:lang w:eastAsia="en-US"/>
        </w:rPr>
      </w:pPr>
    </w:p>
    <w:p w14:paraId="400F444E" w14:textId="2A5881A7" w:rsidR="00DE3E36" w:rsidRPr="009300C3" w:rsidRDefault="0047114E" w:rsidP="00885E70">
      <w:pPr>
        <w:rPr>
          <w:rFonts w:asciiTheme="minorHAnsi" w:hAnsiTheme="minorHAnsi" w:cstheme="minorHAnsi"/>
          <w:b/>
          <w:bCs/>
          <w:lang w:val="en-AU"/>
        </w:rPr>
      </w:pPr>
      <w:r w:rsidRPr="009300C3">
        <w:rPr>
          <w:rFonts w:ascii="Calibri Light" w:hAnsi="Calibri Light"/>
          <w:b/>
          <w:color w:val="006666"/>
          <w:sz w:val="44"/>
          <w:lang w:val="en-AU"/>
        </w:rPr>
        <w:lastRenderedPageBreak/>
        <w:t>Making dementia care and prevention more inclusive and accessible for people with disability</w:t>
      </w:r>
    </w:p>
    <w:p w14:paraId="28002E74" w14:textId="444A389B" w:rsidR="003A3D67" w:rsidRPr="009300C3" w:rsidRDefault="003A3D67" w:rsidP="003A3D67">
      <w:pPr>
        <w:spacing w:before="120"/>
        <w:rPr>
          <w:rFonts w:asciiTheme="minorHAnsi" w:hAnsiTheme="minorHAnsi" w:cstheme="minorHAnsi"/>
          <w:lang w:val="en-AU"/>
        </w:rPr>
      </w:pPr>
      <w:r w:rsidRPr="009300C3">
        <w:rPr>
          <w:rFonts w:asciiTheme="minorHAnsi" w:hAnsiTheme="minorHAnsi" w:cstheme="minorHAnsi"/>
          <w:lang w:val="en-AU"/>
        </w:rPr>
        <w:t>People with disability experience poorer health outcomes compared to people without disability. This is largely due to the fact that people with disability continue to face a range of barriers to accessing healthcare services, including:</w:t>
      </w:r>
    </w:p>
    <w:p w14:paraId="2A02EE76" w14:textId="6E6A610E" w:rsidR="003A3D67" w:rsidRPr="009300C3" w:rsidRDefault="003A3D67" w:rsidP="003A3D67">
      <w:pPr>
        <w:pStyle w:val="ListParagraph"/>
        <w:numPr>
          <w:ilvl w:val="0"/>
          <w:numId w:val="22"/>
        </w:numPr>
        <w:rPr>
          <w:rFonts w:asciiTheme="minorHAnsi" w:hAnsiTheme="minorHAnsi" w:cstheme="minorHAnsi"/>
          <w:lang w:val="en-AU"/>
        </w:rPr>
      </w:pPr>
      <w:r w:rsidRPr="009300C3">
        <w:rPr>
          <w:rFonts w:asciiTheme="minorHAnsi" w:hAnsiTheme="minorHAnsi" w:cstheme="minorHAnsi"/>
          <w:lang w:val="en-AU"/>
        </w:rPr>
        <w:t>Affordability.</w:t>
      </w:r>
    </w:p>
    <w:p w14:paraId="4D82E1EF" w14:textId="021A529F" w:rsidR="003A3D67" w:rsidRPr="009300C3" w:rsidRDefault="003A3D67" w:rsidP="003A3D67">
      <w:pPr>
        <w:pStyle w:val="ListParagraph"/>
        <w:numPr>
          <w:ilvl w:val="0"/>
          <w:numId w:val="22"/>
        </w:numPr>
        <w:rPr>
          <w:rFonts w:asciiTheme="minorHAnsi" w:hAnsiTheme="minorHAnsi" w:cstheme="minorHAnsi"/>
          <w:lang w:val="en-AU"/>
        </w:rPr>
      </w:pPr>
      <w:r w:rsidRPr="009300C3">
        <w:rPr>
          <w:rFonts w:asciiTheme="minorHAnsi" w:hAnsiTheme="minorHAnsi" w:cstheme="minorHAnsi"/>
          <w:lang w:val="en-AU"/>
        </w:rPr>
        <w:t>Inaccessibility of physical spaces.</w:t>
      </w:r>
    </w:p>
    <w:p w14:paraId="31226917" w14:textId="46E04D0B" w:rsidR="003A3D67" w:rsidRPr="009300C3" w:rsidRDefault="003A3D67" w:rsidP="003A3D67">
      <w:pPr>
        <w:pStyle w:val="ListParagraph"/>
        <w:numPr>
          <w:ilvl w:val="0"/>
          <w:numId w:val="22"/>
        </w:numPr>
        <w:rPr>
          <w:rFonts w:asciiTheme="minorHAnsi" w:hAnsiTheme="minorHAnsi" w:cstheme="minorHAnsi"/>
          <w:lang w:val="en-AU"/>
        </w:rPr>
      </w:pPr>
      <w:r w:rsidRPr="009300C3">
        <w:rPr>
          <w:rFonts w:asciiTheme="minorHAnsi" w:hAnsiTheme="minorHAnsi" w:cstheme="minorHAnsi"/>
          <w:lang w:val="en-AU"/>
        </w:rPr>
        <w:t>Lack of access to information in accessible formats.</w:t>
      </w:r>
    </w:p>
    <w:p w14:paraId="102653FA" w14:textId="31C9255E" w:rsidR="003A3D67" w:rsidRPr="009300C3" w:rsidRDefault="003A3D67" w:rsidP="003A3D67">
      <w:pPr>
        <w:pStyle w:val="ListParagraph"/>
        <w:numPr>
          <w:ilvl w:val="0"/>
          <w:numId w:val="22"/>
        </w:numPr>
        <w:rPr>
          <w:rFonts w:asciiTheme="minorHAnsi" w:hAnsiTheme="minorHAnsi" w:cstheme="minorHAnsi"/>
          <w:lang w:val="en-AU"/>
        </w:rPr>
      </w:pPr>
      <w:r w:rsidRPr="009300C3">
        <w:rPr>
          <w:rFonts w:asciiTheme="minorHAnsi" w:hAnsiTheme="minorHAnsi" w:cstheme="minorHAnsi"/>
          <w:lang w:val="en-AU"/>
        </w:rPr>
        <w:t>Discriminatory or ableist attitudes of staff working in healthcare settings.</w:t>
      </w:r>
    </w:p>
    <w:p w14:paraId="29704F46" w14:textId="77777777" w:rsidR="003A3D67" w:rsidRPr="009300C3" w:rsidRDefault="003A3D67" w:rsidP="003A3D67">
      <w:pPr>
        <w:spacing w:before="120"/>
        <w:rPr>
          <w:rFonts w:asciiTheme="minorHAnsi" w:hAnsiTheme="minorHAnsi" w:cstheme="minorHAnsi"/>
          <w:lang w:val="en-AU"/>
        </w:rPr>
      </w:pPr>
    </w:p>
    <w:p w14:paraId="549E05C6" w14:textId="77777777" w:rsidR="003A3D67" w:rsidRPr="009300C3" w:rsidRDefault="003A3D67" w:rsidP="003A3D67">
      <w:pPr>
        <w:spacing w:before="120"/>
        <w:rPr>
          <w:rFonts w:asciiTheme="minorHAnsi" w:hAnsiTheme="minorHAnsi" w:cstheme="minorHAnsi"/>
          <w:lang w:val="en-AU"/>
        </w:rPr>
      </w:pPr>
      <w:r w:rsidRPr="009300C3">
        <w:rPr>
          <w:rFonts w:asciiTheme="minorHAnsi" w:hAnsiTheme="minorHAnsi" w:cstheme="minorHAnsi"/>
          <w:lang w:val="en-AU"/>
        </w:rPr>
        <w:t>According to the Australian Institute of Health and Welfare:</w:t>
      </w:r>
    </w:p>
    <w:p w14:paraId="4D50527F" w14:textId="41045199" w:rsidR="003A3D67" w:rsidRPr="009300C3" w:rsidRDefault="003A3D67" w:rsidP="00BA4C87">
      <w:pPr>
        <w:pStyle w:val="ListParagraph"/>
        <w:numPr>
          <w:ilvl w:val="0"/>
          <w:numId w:val="23"/>
        </w:numPr>
        <w:rPr>
          <w:rFonts w:asciiTheme="minorHAnsi" w:hAnsiTheme="minorHAnsi" w:cstheme="minorHAnsi"/>
          <w:lang w:val="en-AU"/>
        </w:rPr>
      </w:pPr>
      <w:r w:rsidRPr="009300C3">
        <w:rPr>
          <w:rFonts w:asciiTheme="minorHAnsi" w:hAnsiTheme="minorHAnsi" w:cstheme="minorHAnsi"/>
          <w:lang w:val="en-AU"/>
        </w:rPr>
        <w:t>1 in 13 people aged under 65 with disability delay or do not see a GP when needed because of cost</w:t>
      </w:r>
      <w:r w:rsidR="00BA4C87" w:rsidRPr="009300C3">
        <w:rPr>
          <w:rFonts w:asciiTheme="minorHAnsi" w:hAnsiTheme="minorHAnsi" w:cstheme="minorHAnsi"/>
          <w:lang w:val="en-AU"/>
        </w:rPr>
        <w:t>.</w:t>
      </w:r>
    </w:p>
    <w:p w14:paraId="1D79BC9D" w14:textId="711C0D4F" w:rsidR="003A3D67" w:rsidRPr="009300C3" w:rsidRDefault="003A3D67" w:rsidP="00BA4C87">
      <w:pPr>
        <w:pStyle w:val="ListParagraph"/>
        <w:numPr>
          <w:ilvl w:val="0"/>
          <w:numId w:val="23"/>
        </w:numPr>
        <w:rPr>
          <w:rFonts w:asciiTheme="minorHAnsi" w:hAnsiTheme="minorHAnsi" w:cstheme="minorHAnsi"/>
          <w:lang w:val="en-AU"/>
        </w:rPr>
      </w:pPr>
      <w:r w:rsidRPr="009300C3">
        <w:rPr>
          <w:rFonts w:asciiTheme="minorHAnsi" w:hAnsiTheme="minorHAnsi" w:cstheme="minorHAnsi"/>
          <w:lang w:val="en-AU"/>
        </w:rPr>
        <w:t>1 in 5 people with disability who need help with health-care activities have their need for assistance only partly met, or not met at all</w:t>
      </w:r>
      <w:r w:rsidR="00BA4C87" w:rsidRPr="009300C3">
        <w:rPr>
          <w:rFonts w:asciiTheme="minorHAnsi" w:hAnsiTheme="minorHAnsi" w:cstheme="minorHAnsi"/>
          <w:lang w:val="en-AU"/>
        </w:rPr>
        <w:t>.</w:t>
      </w:r>
    </w:p>
    <w:p w14:paraId="62458AC8" w14:textId="6EBBA0AC" w:rsidR="003A3D67" w:rsidRPr="009300C3" w:rsidRDefault="003A3D67" w:rsidP="00BA4C87">
      <w:pPr>
        <w:pStyle w:val="ListParagraph"/>
        <w:numPr>
          <w:ilvl w:val="0"/>
          <w:numId w:val="23"/>
        </w:numPr>
        <w:rPr>
          <w:rFonts w:asciiTheme="minorHAnsi" w:hAnsiTheme="minorHAnsi" w:cstheme="minorHAnsi"/>
          <w:lang w:val="en-AU"/>
        </w:rPr>
      </w:pPr>
      <w:r w:rsidRPr="009300C3">
        <w:rPr>
          <w:rFonts w:asciiTheme="minorHAnsi" w:hAnsiTheme="minorHAnsi" w:cstheme="minorHAnsi"/>
          <w:lang w:val="en-AU"/>
        </w:rPr>
        <w:t>1 in 2 people aged 5–64 with disability who need health care assistance receive only informal assistance</w:t>
      </w:r>
      <w:r w:rsidR="001110CB" w:rsidRPr="009300C3">
        <w:rPr>
          <w:rFonts w:asciiTheme="minorHAnsi" w:hAnsiTheme="minorHAnsi" w:cstheme="minorHAnsi"/>
          <w:lang w:val="en-AU"/>
        </w:rPr>
        <w:t>.</w:t>
      </w:r>
    </w:p>
    <w:p w14:paraId="20E9F9E4" w14:textId="2F0FDB39" w:rsidR="003A3D67" w:rsidRPr="009300C3" w:rsidRDefault="003A3D67" w:rsidP="00BA4C87">
      <w:pPr>
        <w:pStyle w:val="ListParagraph"/>
        <w:numPr>
          <w:ilvl w:val="0"/>
          <w:numId w:val="23"/>
        </w:numPr>
        <w:rPr>
          <w:rFonts w:asciiTheme="minorHAnsi" w:hAnsiTheme="minorHAnsi" w:cstheme="minorHAnsi"/>
          <w:lang w:val="en-AU"/>
        </w:rPr>
      </w:pPr>
      <w:r w:rsidRPr="009300C3">
        <w:rPr>
          <w:rFonts w:asciiTheme="minorHAnsi" w:hAnsiTheme="minorHAnsi" w:cstheme="minorHAnsi"/>
          <w:lang w:val="en-AU"/>
        </w:rPr>
        <w:t>Two in five people with disability have difficulty physically accessing medical facilities</w:t>
      </w:r>
      <w:r w:rsidR="001110CB" w:rsidRPr="009300C3">
        <w:rPr>
          <w:rFonts w:asciiTheme="minorHAnsi" w:hAnsiTheme="minorHAnsi" w:cstheme="minorHAnsi"/>
          <w:lang w:val="en-AU"/>
        </w:rPr>
        <w:t>.</w:t>
      </w:r>
      <w:r w:rsidRPr="009300C3">
        <w:rPr>
          <w:rFonts w:asciiTheme="minorHAnsi" w:hAnsiTheme="minorHAnsi" w:cstheme="minorHAnsi"/>
          <w:lang w:val="en-AU"/>
        </w:rPr>
        <w:t xml:space="preserve"> </w:t>
      </w:r>
    </w:p>
    <w:p w14:paraId="27E5C8AE" w14:textId="711D312A" w:rsidR="003A3D67" w:rsidRPr="009300C3" w:rsidRDefault="003A3D67" w:rsidP="003A3D67">
      <w:pPr>
        <w:pStyle w:val="ListParagraph"/>
        <w:numPr>
          <w:ilvl w:val="0"/>
          <w:numId w:val="23"/>
        </w:numPr>
        <w:rPr>
          <w:rFonts w:asciiTheme="minorHAnsi" w:hAnsiTheme="minorHAnsi" w:cstheme="minorHAnsi"/>
          <w:lang w:val="en-AU"/>
        </w:rPr>
      </w:pPr>
      <w:r w:rsidRPr="009300C3">
        <w:rPr>
          <w:rFonts w:asciiTheme="minorHAnsi" w:hAnsiTheme="minorHAnsi" w:cstheme="minorHAnsi"/>
          <w:lang w:val="en-AU"/>
        </w:rPr>
        <w:t>One in six people with disability experience discrimination by health staff.</w:t>
      </w:r>
      <w:r w:rsidR="00E229E2">
        <w:rPr>
          <w:rStyle w:val="FootnoteReference"/>
          <w:rFonts w:asciiTheme="minorHAnsi" w:hAnsiTheme="minorHAnsi" w:cstheme="minorHAnsi"/>
          <w:lang w:val="en-AU"/>
        </w:rPr>
        <w:footnoteReference w:id="3"/>
      </w:r>
      <w:r w:rsidR="00E229E2">
        <w:rPr>
          <w:rFonts w:asciiTheme="minorHAnsi" w:hAnsiTheme="minorHAnsi" w:cstheme="minorHAnsi"/>
          <w:vertAlign w:val="superscript"/>
          <w:lang w:val="en-AU"/>
        </w:rPr>
        <w:t>,</w:t>
      </w:r>
      <w:r w:rsidR="00A52B4A">
        <w:rPr>
          <w:rStyle w:val="FootnoteReference"/>
          <w:rFonts w:asciiTheme="minorHAnsi" w:hAnsiTheme="minorHAnsi" w:cstheme="minorHAnsi"/>
          <w:lang w:val="en-AU"/>
        </w:rPr>
        <w:footnoteReference w:id="4"/>
      </w:r>
      <w:r w:rsidR="001110CB" w:rsidRPr="009300C3">
        <w:rPr>
          <w:rFonts w:asciiTheme="minorHAnsi" w:hAnsiTheme="minorHAnsi" w:cstheme="minorHAnsi"/>
          <w:lang w:val="en-AU"/>
        </w:rPr>
        <w:br/>
      </w:r>
    </w:p>
    <w:p w14:paraId="355095F3" w14:textId="7608C7BB" w:rsidR="003A3D67" w:rsidRPr="009300C3" w:rsidRDefault="003A3D67" w:rsidP="003A3D67">
      <w:pPr>
        <w:spacing w:before="120"/>
        <w:rPr>
          <w:rFonts w:asciiTheme="minorHAnsi" w:hAnsiTheme="minorHAnsi" w:cstheme="minorHAnsi"/>
          <w:lang w:val="en-AU"/>
        </w:rPr>
      </w:pPr>
      <w:r w:rsidRPr="009300C3">
        <w:rPr>
          <w:rFonts w:asciiTheme="minorHAnsi" w:hAnsiTheme="minorHAnsi" w:cstheme="minorHAnsi"/>
          <w:lang w:val="en-AU"/>
        </w:rPr>
        <w:t>Considering this last point, it is important to remember that there are a range of staff</w:t>
      </w:r>
      <w:r w:rsidR="001110CB" w:rsidRPr="009300C3">
        <w:rPr>
          <w:rFonts w:asciiTheme="minorHAnsi" w:hAnsiTheme="minorHAnsi" w:cstheme="minorHAnsi"/>
          <w:lang w:val="en-AU"/>
        </w:rPr>
        <w:t xml:space="preserve"> </w:t>
      </w:r>
      <w:r w:rsidRPr="009300C3">
        <w:rPr>
          <w:rFonts w:asciiTheme="minorHAnsi" w:hAnsiTheme="minorHAnsi" w:cstheme="minorHAnsi"/>
          <w:lang w:val="en-AU"/>
        </w:rPr>
        <w:t>working across the health and community care sectors who may make up an individual’s dementia-care journey. These might include:</w:t>
      </w:r>
    </w:p>
    <w:p w14:paraId="6F9563D7" w14:textId="1AB93E0C" w:rsidR="003A3D67" w:rsidRPr="009300C3" w:rsidRDefault="001110CB" w:rsidP="001110CB">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t>D</w:t>
      </w:r>
      <w:r w:rsidR="003A3D67" w:rsidRPr="009300C3">
        <w:rPr>
          <w:rFonts w:asciiTheme="minorHAnsi" w:hAnsiTheme="minorHAnsi" w:cstheme="minorHAnsi"/>
          <w:lang w:val="en-AU"/>
        </w:rPr>
        <w:t>octors</w:t>
      </w:r>
      <w:r w:rsidRPr="009300C3">
        <w:rPr>
          <w:rFonts w:asciiTheme="minorHAnsi" w:hAnsiTheme="minorHAnsi" w:cstheme="minorHAnsi"/>
          <w:lang w:val="en-AU"/>
        </w:rPr>
        <w:t>.</w:t>
      </w:r>
    </w:p>
    <w:p w14:paraId="512423C5" w14:textId="1BAFA5BA" w:rsidR="003A3D67" w:rsidRPr="009300C3" w:rsidRDefault="001110CB" w:rsidP="001110CB">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t>N</w:t>
      </w:r>
      <w:r w:rsidR="003A3D67" w:rsidRPr="009300C3">
        <w:rPr>
          <w:rFonts w:asciiTheme="minorHAnsi" w:hAnsiTheme="minorHAnsi" w:cstheme="minorHAnsi"/>
          <w:lang w:val="en-AU"/>
        </w:rPr>
        <w:t>urses</w:t>
      </w:r>
      <w:r w:rsidRPr="009300C3">
        <w:rPr>
          <w:rFonts w:asciiTheme="minorHAnsi" w:hAnsiTheme="minorHAnsi" w:cstheme="minorHAnsi"/>
          <w:lang w:val="en-AU"/>
        </w:rPr>
        <w:t>.</w:t>
      </w:r>
    </w:p>
    <w:p w14:paraId="727D0F5C" w14:textId="37995E66" w:rsidR="003A3D67" w:rsidRPr="009300C3" w:rsidRDefault="001110CB" w:rsidP="001110CB">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t>S</w:t>
      </w:r>
      <w:r w:rsidR="003A3D67" w:rsidRPr="009300C3">
        <w:rPr>
          <w:rFonts w:asciiTheme="minorHAnsi" w:hAnsiTheme="minorHAnsi" w:cstheme="minorHAnsi"/>
          <w:lang w:val="en-AU"/>
        </w:rPr>
        <w:t>ocial workers</w:t>
      </w:r>
      <w:r w:rsidRPr="009300C3">
        <w:rPr>
          <w:rFonts w:asciiTheme="minorHAnsi" w:hAnsiTheme="minorHAnsi" w:cstheme="minorHAnsi"/>
          <w:lang w:val="en-AU"/>
        </w:rPr>
        <w:t>.</w:t>
      </w:r>
    </w:p>
    <w:p w14:paraId="42C3319C" w14:textId="67FB9516" w:rsidR="003A3D67" w:rsidRPr="009300C3" w:rsidRDefault="001110CB" w:rsidP="001110CB">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t>C</w:t>
      </w:r>
      <w:r w:rsidR="003A3D67" w:rsidRPr="009300C3">
        <w:rPr>
          <w:rFonts w:asciiTheme="minorHAnsi" w:hAnsiTheme="minorHAnsi" w:cstheme="minorHAnsi"/>
          <w:lang w:val="en-AU"/>
        </w:rPr>
        <w:t>haplains</w:t>
      </w:r>
      <w:r w:rsidRPr="009300C3">
        <w:rPr>
          <w:rFonts w:asciiTheme="minorHAnsi" w:hAnsiTheme="minorHAnsi" w:cstheme="minorHAnsi"/>
          <w:lang w:val="en-AU"/>
        </w:rPr>
        <w:t>.</w:t>
      </w:r>
    </w:p>
    <w:p w14:paraId="55530ACF" w14:textId="49944F2D" w:rsidR="003A3D67" w:rsidRPr="009300C3" w:rsidRDefault="001110CB" w:rsidP="001110CB">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t>C</w:t>
      </w:r>
      <w:r w:rsidR="003A3D67" w:rsidRPr="009300C3">
        <w:rPr>
          <w:rFonts w:asciiTheme="minorHAnsi" w:hAnsiTheme="minorHAnsi" w:cstheme="minorHAnsi"/>
          <w:lang w:val="en-AU"/>
        </w:rPr>
        <w:t>ommunity care workers</w:t>
      </w:r>
      <w:r w:rsidRPr="009300C3">
        <w:rPr>
          <w:rFonts w:asciiTheme="minorHAnsi" w:hAnsiTheme="minorHAnsi" w:cstheme="minorHAnsi"/>
          <w:lang w:val="en-AU"/>
        </w:rPr>
        <w:t>.</w:t>
      </w:r>
    </w:p>
    <w:p w14:paraId="6DD27892" w14:textId="3AE05CD4" w:rsidR="003A3D67" w:rsidRPr="009300C3" w:rsidRDefault="001110CB" w:rsidP="001110CB">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t>D</w:t>
      </w:r>
      <w:r w:rsidR="003A3D67" w:rsidRPr="009300C3">
        <w:rPr>
          <w:rFonts w:asciiTheme="minorHAnsi" w:hAnsiTheme="minorHAnsi" w:cstheme="minorHAnsi"/>
          <w:lang w:val="en-AU"/>
        </w:rPr>
        <w:t>ementia counselling and support workers</w:t>
      </w:r>
      <w:r w:rsidRPr="009300C3">
        <w:rPr>
          <w:rFonts w:asciiTheme="minorHAnsi" w:hAnsiTheme="minorHAnsi" w:cstheme="minorHAnsi"/>
          <w:lang w:val="en-AU"/>
        </w:rPr>
        <w:t>.</w:t>
      </w:r>
    </w:p>
    <w:p w14:paraId="3E685CEB" w14:textId="4C56089B" w:rsidR="003A3D67" w:rsidRPr="009300C3" w:rsidRDefault="003A3D67" w:rsidP="001110CB">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t>Geriatricians</w:t>
      </w:r>
      <w:r w:rsidR="001110CB" w:rsidRPr="009300C3">
        <w:rPr>
          <w:rFonts w:asciiTheme="minorHAnsi" w:hAnsiTheme="minorHAnsi" w:cstheme="minorHAnsi"/>
          <w:lang w:val="en-AU"/>
        </w:rPr>
        <w:t>.</w:t>
      </w:r>
    </w:p>
    <w:p w14:paraId="4EAB09C1" w14:textId="357AB359" w:rsidR="003A3D67" w:rsidRPr="009300C3" w:rsidRDefault="003A3D67" w:rsidP="003A3D67">
      <w:pPr>
        <w:pStyle w:val="ListParagraph"/>
        <w:numPr>
          <w:ilvl w:val="0"/>
          <w:numId w:val="25"/>
        </w:numPr>
        <w:rPr>
          <w:rFonts w:asciiTheme="minorHAnsi" w:hAnsiTheme="minorHAnsi" w:cstheme="minorHAnsi"/>
          <w:lang w:val="en-AU"/>
        </w:rPr>
      </w:pPr>
      <w:r w:rsidRPr="009300C3">
        <w:rPr>
          <w:rFonts w:asciiTheme="minorHAnsi" w:hAnsiTheme="minorHAnsi" w:cstheme="minorHAnsi"/>
          <w:lang w:val="en-AU"/>
        </w:rPr>
        <w:lastRenderedPageBreak/>
        <w:t>Palliative care workers</w:t>
      </w:r>
      <w:r w:rsidR="001110CB" w:rsidRPr="009300C3">
        <w:rPr>
          <w:rFonts w:asciiTheme="minorHAnsi" w:hAnsiTheme="minorHAnsi" w:cstheme="minorHAnsi"/>
          <w:lang w:val="en-AU"/>
        </w:rPr>
        <w:t>.</w:t>
      </w:r>
    </w:p>
    <w:p w14:paraId="6CF58B09" w14:textId="6B2BD888" w:rsidR="003A3D67" w:rsidRPr="009300C3" w:rsidRDefault="003A3D67" w:rsidP="003A3D67">
      <w:pPr>
        <w:spacing w:before="120"/>
        <w:rPr>
          <w:rFonts w:asciiTheme="minorHAnsi" w:hAnsiTheme="minorHAnsi" w:cstheme="minorHAnsi"/>
          <w:lang w:val="en-AU"/>
        </w:rPr>
      </w:pPr>
      <w:r w:rsidRPr="009300C3">
        <w:rPr>
          <w:rFonts w:asciiTheme="minorHAnsi" w:hAnsiTheme="minorHAnsi" w:cstheme="minorHAnsi"/>
          <w:lang w:val="en-AU"/>
        </w:rPr>
        <w:t xml:space="preserve">It is critical that staff working across each of these professions </w:t>
      </w:r>
      <w:proofErr w:type="gramStart"/>
      <w:r w:rsidR="001110CB" w:rsidRPr="009300C3">
        <w:rPr>
          <w:rFonts w:asciiTheme="minorHAnsi" w:hAnsiTheme="minorHAnsi" w:cstheme="minorHAnsi"/>
          <w:lang w:val="en-AU"/>
        </w:rPr>
        <w:t>h</w:t>
      </w:r>
      <w:r w:rsidRPr="009300C3">
        <w:rPr>
          <w:rFonts w:asciiTheme="minorHAnsi" w:hAnsiTheme="minorHAnsi" w:cstheme="minorHAnsi"/>
          <w:lang w:val="en-AU"/>
        </w:rPr>
        <w:t>ave an understanding of</w:t>
      </w:r>
      <w:proofErr w:type="gramEnd"/>
      <w:r w:rsidRPr="009300C3">
        <w:rPr>
          <w:rFonts w:asciiTheme="minorHAnsi" w:hAnsiTheme="minorHAnsi" w:cstheme="minorHAnsi"/>
          <w:lang w:val="en-AU"/>
        </w:rPr>
        <w:t xml:space="preserve"> disability </w:t>
      </w:r>
      <w:r w:rsidR="001110CB" w:rsidRPr="009300C3">
        <w:rPr>
          <w:rFonts w:asciiTheme="minorHAnsi" w:hAnsiTheme="minorHAnsi" w:cstheme="minorHAnsi"/>
          <w:lang w:val="en-AU"/>
        </w:rPr>
        <w:t>awareness and</w:t>
      </w:r>
      <w:r w:rsidRPr="009300C3">
        <w:rPr>
          <w:rFonts w:asciiTheme="minorHAnsi" w:hAnsiTheme="minorHAnsi" w:cstheme="minorHAnsi"/>
          <w:lang w:val="en-AU"/>
        </w:rPr>
        <w:t xml:space="preserve"> are able to provide services </w:t>
      </w:r>
      <w:r w:rsidR="001110CB" w:rsidRPr="009300C3">
        <w:rPr>
          <w:rFonts w:asciiTheme="minorHAnsi" w:hAnsiTheme="minorHAnsi" w:cstheme="minorHAnsi"/>
          <w:lang w:val="en-AU"/>
        </w:rPr>
        <w:t>on</w:t>
      </w:r>
      <w:r w:rsidRPr="009300C3">
        <w:rPr>
          <w:rFonts w:asciiTheme="minorHAnsi" w:hAnsiTheme="minorHAnsi" w:cstheme="minorHAnsi"/>
          <w:lang w:val="en-AU"/>
        </w:rPr>
        <w:t xml:space="preserve"> a non-discriminatory basis. This also requires them to have the capacity to communicate with people in a manner that is accessible and inclusive. This means providing information in a range of formats such as Braille, Easy Read</w:t>
      </w:r>
      <w:r w:rsidR="001110CB" w:rsidRPr="009300C3">
        <w:rPr>
          <w:rFonts w:asciiTheme="minorHAnsi" w:hAnsiTheme="minorHAnsi" w:cstheme="minorHAnsi"/>
          <w:lang w:val="en-AU"/>
        </w:rPr>
        <w:t>,</w:t>
      </w:r>
      <w:r w:rsidRPr="009300C3">
        <w:rPr>
          <w:rFonts w:asciiTheme="minorHAnsi" w:hAnsiTheme="minorHAnsi" w:cstheme="minorHAnsi"/>
          <w:lang w:val="en-AU"/>
        </w:rPr>
        <w:t xml:space="preserve"> and Australian sign language</w:t>
      </w:r>
      <w:r w:rsidR="001110CB" w:rsidRPr="009300C3">
        <w:rPr>
          <w:rFonts w:asciiTheme="minorHAnsi" w:hAnsiTheme="minorHAnsi" w:cstheme="minorHAnsi"/>
          <w:lang w:val="en-AU"/>
        </w:rPr>
        <w:t>,</w:t>
      </w:r>
      <w:r w:rsidRPr="009300C3">
        <w:rPr>
          <w:rFonts w:asciiTheme="minorHAnsi" w:hAnsiTheme="minorHAnsi" w:cstheme="minorHAnsi"/>
          <w:lang w:val="en-AU"/>
        </w:rPr>
        <w:t xml:space="preserve"> and ensuring communication supports are routinely available. To t</w:t>
      </w:r>
      <w:r w:rsidR="001110CB" w:rsidRPr="009300C3">
        <w:rPr>
          <w:rFonts w:asciiTheme="minorHAnsi" w:hAnsiTheme="minorHAnsi" w:cstheme="minorHAnsi"/>
          <w:lang w:val="en-AU"/>
        </w:rPr>
        <w:t>h</w:t>
      </w:r>
      <w:r w:rsidRPr="009300C3">
        <w:rPr>
          <w:rFonts w:asciiTheme="minorHAnsi" w:hAnsiTheme="minorHAnsi" w:cstheme="minorHAnsi"/>
          <w:lang w:val="en-AU"/>
        </w:rPr>
        <w:t>is end, we direct the Department to the following recommendations from the concluding observations on the combined second and third periodic reports of Australia, handed down by the Committee on the Rights of Persons with Disabilities in 2019:</w:t>
      </w:r>
    </w:p>
    <w:p w14:paraId="5B8797A5" w14:textId="77777777" w:rsidR="001110CB" w:rsidRPr="009300C3" w:rsidRDefault="003A3D67" w:rsidP="003A3D67">
      <w:pPr>
        <w:pStyle w:val="ListParagraph"/>
        <w:numPr>
          <w:ilvl w:val="0"/>
          <w:numId w:val="26"/>
        </w:numPr>
        <w:rPr>
          <w:rFonts w:asciiTheme="minorHAnsi" w:hAnsiTheme="minorHAnsi" w:cstheme="minorHAnsi"/>
          <w:lang w:val="en-AU"/>
        </w:rPr>
      </w:pPr>
      <w:r w:rsidRPr="009300C3">
        <w:rPr>
          <w:rFonts w:asciiTheme="minorHAnsi" w:hAnsiTheme="minorHAnsi" w:cstheme="minorHAnsi"/>
          <w:lang w:val="en-AU"/>
        </w:rPr>
        <w:t>All persons with disabilities, in particular persons with disabilities living in remote areas, Aboriginal and Torres Strait Islander persons with disabilities, persons with intellectual or psychosocial disabilities, persons with disabilities living in institutions and women and children with disabilities, have access to information on an equal basis with others and to affordable, accessible, quality and culturally sensitive medical equipment and health services;</w:t>
      </w:r>
      <w:r w:rsidR="001110CB" w:rsidRPr="009300C3">
        <w:rPr>
          <w:rFonts w:asciiTheme="minorHAnsi" w:hAnsiTheme="minorHAnsi" w:cstheme="minorHAnsi"/>
          <w:lang w:val="en-AU"/>
        </w:rPr>
        <w:br/>
      </w:r>
    </w:p>
    <w:p w14:paraId="1C2F308B" w14:textId="77777777" w:rsidR="001110CB" w:rsidRPr="009300C3" w:rsidRDefault="003A3D67" w:rsidP="003A3D67">
      <w:pPr>
        <w:pStyle w:val="ListParagraph"/>
        <w:numPr>
          <w:ilvl w:val="0"/>
          <w:numId w:val="26"/>
        </w:numPr>
        <w:rPr>
          <w:rFonts w:asciiTheme="minorHAnsi" w:hAnsiTheme="minorHAnsi" w:cstheme="minorHAnsi"/>
          <w:lang w:val="en-AU"/>
        </w:rPr>
      </w:pPr>
      <w:r w:rsidRPr="009300C3">
        <w:rPr>
          <w:rFonts w:asciiTheme="minorHAnsi" w:hAnsiTheme="minorHAnsi" w:cstheme="minorHAnsi"/>
          <w:lang w:val="en-AU"/>
        </w:rPr>
        <w:t>All health-care services are based on a non-discriminatory, human rights model of disability and that any medical treatment is provided with the free and informed consent of the person concerned prior to any medical treatment;</w:t>
      </w:r>
      <w:r w:rsidR="001110CB" w:rsidRPr="009300C3">
        <w:rPr>
          <w:rFonts w:asciiTheme="minorHAnsi" w:hAnsiTheme="minorHAnsi" w:cstheme="minorHAnsi"/>
          <w:lang w:val="en-AU"/>
        </w:rPr>
        <w:br/>
      </w:r>
    </w:p>
    <w:p w14:paraId="380E16CA" w14:textId="4DA26A88" w:rsidR="003A3D67" w:rsidRPr="009300C3" w:rsidRDefault="003A3D67" w:rsidP="003A3D67">
      <w:pPr>
        <w:pStyle w:val="ListParagraph"/>
        <w:numPr>
          <w:ilvl w:val="0"/>
          <w:numId w:val="26"/>
        </w:numPr>
        <w:rPr>
          <w:rFonts w:asciiTheme="minorHAnsi" w:hAnsiTheme="minorHAnsi" w:cstheme="minorHAnsi"/>
          <w:lang w:val="en-AU"/>
        </w:rPr>
      </w:pPr>
      <w:r w:rsidRPr="009300C3">
        <w:rPr>
          <w:rFonts w:asciiTheme="minorHAnsi" w:hAnsiTheme="minorHAnsi" w:cstheme="minorHAnsi"/>
          <w:lang w:val="en-AU"/>
        </w:rPr>
        <w:t>Health-care practitioners receive training on the human rights model of disability to enhance their capacity to provide accessible, quality health care to persons with disabilities.</w:t>
      </w:r>
      <w:r w:rsidR="005D4946">
        <w:rPr>
          <w:rStyle w:val="FootnoteReference"/>
          <w:rFonts w:asciiTheme="minorHAnsi" w:hAnsiTheme="minorHAnsi" w:cstheme="minorHAnsi"/>
          <w:lang w:val="en-AU"/>
        </w:rPr>
        <w:footnoteReference w:id="5"/>
      </w:r>
      <w:r w:rsidRPr="009300C3">
        <w:rPr>
          <w:rFonts w:asciiTheme="minorHAnsi" w:hAnsiTheme="minorHAnsi" w:cstheme="minorHAnsi"/>
          <w:lang w:val="en-AU"/>
        </w:rPr>
        <w:t xml:space="preserve"> </w:t>
      </w:r>
    </w:p>
    <w:p w14:paraId="33A9C540" w14:textId="041B2170" w:rsidR="003A3D67" w:rsidRPr="009300C3" w:rsidRDefault="003A3D67" w:rsidP="003A3D67">
      <w:pPr>
        <w:spacing w:before="120"/>
        <w:rPr>
          <w:rFonts w:asciiTheme="minorHAnsi" w:hAnsiTheme="minorHAnsi" w:cstheme="minorHAnsi"/>
          <w:lang w:val="en-AU"/>
        </w:rPr>
      </w:pPr>
      <w:r w:rsidRPr="009300C3">
        <w:rPr>
          <w:rFonts w:asciiTheme="minorHAnsi" w:hAnsiTheme="minorHAnsi" w:cstheme="minorHAnsi"/>
          <w:lang w:val="en-AU"/>
        </w:rPr>
        <w:t>These recommendations should be factored into the development of the National Dementia Action Plan to ensure people with disability can access dementia</w:t>
      </w:r>
      <w:r w:rsidR="001D3FAA" w:rsidRPr="009300C3">
        <w:rPr>
          <w:rFonts w:asciiTheme="minorHAnsi" w:hAnsiTheme="minorHAnsi" w:cstheme="minorHAnsi"/>
          <w:lang w:val="en-AU"/>
        </w:rPr>
        <w:t xml:space="preserve"> </w:t>
      </w:r>
      <w:r w:rsidRPr="009300C3">
        <w:rPr>
          <w:rFonts w:asciiTheme="minorHAnsi" w:hAnsiTheme="minorHAnsi" w:cstheme="minorHAnsi"/>
          <w:lang w:val="en-AU"/>
        </w:rPr>
        <w:t xml:space="preserve">related information and services on an equitable basis with others. </w:t>
      </w:r>
      <w:proofErr w:type="gramStart"/>
      <w:r w:rsidRPr="009300C3">
        <w:rPr>
          <w:rFonts w:asciiTheme="minorHAnsi" w:hAnsiTheme="minorHAnsi" w:cstheme="minorHAnsi"/>
          <w:lang w:val="en-AU"/>
        </w:rPr>
        <w:t>In implementing these recommendations, it</w:t>
      </w:r>
      <w:proofErr w:type="gramEnd"/>
      <w:r w:rsidRPr="009300C3">
        <w:rPr>
          <w:rFonts w:asciiTheme="minorHAnsi" w:hAnsiTheme="minorHAnsi" w:cstheme="minorHAnsi"/>
          <w:lang w:val="en-AU"/>
        </w:rPr>
        <w:t xml:space="preserve"> is important for the Department to remember that people with disability are not only patients, but also carers. In fact, more than a third of primary carers across Australia have a disability.</w:t>
      </w:r>
      <w:r w:rsidR="001D3FAA" w:rsidRPr="009300C3">
        <w:rPr>
          <w:rStyle w:val="FootnoteReference"/>
          <w:rFonts w:asciiTheme="minorHAnsi" w:hAnsiTheme="minorHAnsi" w:cstheme="minorHAnsi"/>
          <w:lang w:val="en-AU"/>
        </w:rPr>
        <w:footnoteReference w:id="6"/>
      </w:r>
      <w:r w:rsidRPr="009300C3">
        <w:rPr>
          <w:rFonts w:asciiTheme="minorHAnsi" w:hAnsiTheme="minorHAnsi" w:cstheme="minorHAnsi"/>
          <w:lang w:val="en-AU"/>
        </w:rPr>
        <w:t xml:space="preserve">  It is therefore vital that people with disability who are caring for a friend or family member with dementia can access information and services in a manner that is inclusive to their needs.</w:t>
      </w:r>
      <w:r w:rsidR="001D3FAA" w:rsidRPr="009300C3">
        <w:rPr>
          <w:rFonts w:asciiTheme="minorHAnsi" w:hAnsiTheme="minorHAnsi" w:cstheme="minorHAnsi"/>
          <w:lang w:val="en-AU"/>
        </w:rPr>
        <w:br/>
      </w:r>
    </w:p>
    <w:p w14:paraId="3B8BF09A" w14:textId="58F2965E" w:rsidR="003A3D67" w:rsidRPr="009300C3" w:rsidRDefault="003A3D67" w:rsidP="003A3D67">
      <w:pPr>
        <w:spacing w:before="120"/>
        <w:rPr>
          <w:rFonts w:asciiTheme="minorHAnsi" w:hAnsiTheme="minorHAnsi" w:cstheme="minorHAnsi"/>
          <w:lang w:val="en-AU"/>
        </w:rPr>
      </w:pPr>
      <w:r w:rsidRPr="009300C3">
        <w:rPr>
          <w:rFonts w:asciiTheme="minorHAnsi" w:hAnsiTheme="minorHAnsi" w:cstheme="minorHAnsi"/>
          <w:b/>
          <w:bCs/>
          <w:lang w:val="en-AU"/>
        </w:rPr>
        <w:t>Recommendation 2:</w:t>
      </w:r>
      <w:r w:rsidR="001D3FAA" w:rsidRPr="009300C3">
        <w:rPr>
          <w:rFonts w:asciiTheme="minorHAnsi" w:hAnsiTheme="minorHAnsi" w:cstheme="minorHAnsi"/>
          <w:lang w:val="en-AU"/>
        </w:rPr>
        <w:t xml:space="preserve"> </w:t>
      </w:r>
      <w:r w:rsidRPr="009300C3">
        <w:rPr>
          <w:rFonts w:asciiTheme="minorHAnsi" w:hAnsiTheme="minorHAnsi" w:cstheme="minorHAnsi"/>
          <w:lang w:val="en-AU"/>
        </w:rPr>
        <w:t xml:space="preserve">The Department must consider how the National Dementia Action Plan can be used to increase the capacity of staff working across the health and community care </w:t>
      </w:r>
      <w:r w:rsidRPr="009300C3">
        <w:rPr>
          <w:rFonts w:asciiTheme="minorHAnsi" w:hAnsiTheme="minorHAnsi" w:cstheme="minorHAnsi"/>
          <w:lang w:val="en-AU"/>
        </w:rPr>
        <w:lastRenderedPageBreak/>
        <w:t>sectors to provide services that are accessible, inclusive</w:t>
      </w:r>
      <w:r w:rsidR="001D3FAA" w:rsidRPr="009300C3">
        <w:rPr>
          <w:rFonts w:asciiTheme="minorHAnsi" w:hAnsiTheme="minorHAnsi" w:cstheme="minorHAnsi"/>
          <w:lang w:val="en-AU"/>
        </w:rPr>
        <w:t>,</w:t>
      </w:r>
      <w:r w:rsidRPr="009300C3">
        <w:rPr>
          <w:rFonts w:asciiTheme="minorHAnsi" w:hAnsiTheme="minorHAnsi" w:cstheme="minorHAnsi"/>
          <w:lang w:val="en-AU"/>
        </w:rPr>
        <w:t xml:space="preserve"> and responsive to the needs of people with disability.</w:t>
      </w:r>
    </w:p>
    <w:p w14:paraId="408582CB" w14:textId="77777777" w:rsidR="001D3FAA" w:rsidRPr="009300C3" w:rsidRDefault="003A3D67" w:rsidP="003A3D67">
      <w:pPr>
        <w:spacing w:before="120"/>
        <w:rPr>
          <w:rFonts w:asciiTheme="minorHAnsi" w:hAnsiTheme="minorHAnsi" w:cstheme="minorHAnsi"/>
          <w:lang w:val="en-AU"/>
        </w:rPr>
      </w:pPr>
      <w:r w:rsidRPr="009300C3">
        <w:rPr>
          <w:rFonts w:asciiTheme="minorHAnsi" w:hAnsiTheme="minorHAnsi" w:cstheme="minorHAnsi"/>
          <w:b/>
          <w:bCs/>
          <w:lang w:val="en-AU"/>
        </w:rPr>
        <w:t>Recommendation 3:</w:t>
      </w:r>
      <w:r w:rsidR="001D3FAA" w:rsidRPr="009300C3">
        <w:rPr>
          <w:rFonts w:asciiTheme="minorHAnsi" w:hAnsiTheme="minorHAnsi" w:cstheme="minorHAnsi"/>
          <w:lang w:val="en-AU"/>
        </w:rPr>
        <w:t xml:space="preserve"> </w:t>
      </w:r>
      <w:r w:rsidRPr="009300C3">
        <w:rPr>
          <w:rFonts w:asciiTheme="minorHAnsi" w:hAnsiTheme="minorHAnsi" w:cstheme="minorHAnsi"/>
          <w:lang w:val="en-AU"/>
        </w:rPr>
        <w:t>The Department</w:t>
      </w:r>
      <w:r w:rsidR="001D3FAA" w:rsidRPr="009300C3">
        <w:rPr>
          <w:rFonts w:asciiTheme="minorHAnsi" w:hAnsiTheme="minorHAnsi" w:cstheme="minorHAnsi"/>
          <w:lang w:val="en-AU"/>
        </w:rPr>
        <w:t xml:space="preserve"> </w:t>
      </w:r>
      <w:r w:rsidRPr="009300C3">
        <w:rPr>
          <w:rFonts w:asciiTheme="minorHAnsi" w:hAnsiTheme="minorHAnsi" w:cstheme="minorHAnsi"/>
          <w:lang w:val="en-AU"/>
        </w:rPr>
        <w:t>must consider how the National Dementia Action Plan can be used to drive increased availability of dementia</w:t>
      </w:r>
      <w:r w:rsidR="001D3FAA" w:rsidRPr="009300C3">
        <w:rPr>
          <w:rFonts w:asciiTheme="minorHAnsi" w:hAnsiTheme="minorHAnsi" w:cstheme="minorHAnsi"/>
          <w:lang w:val="en-AU"/>
        </w:rPr>
        <w:t xml:space="preserve"> </w:t>
      </w:r>
      <w:r w:rsidRPr="009300C3">
        <w:rPr>
          <w:rFonts w:asciiTheme="minorHAnsi" w:hAnsiTheme="minorHAnsi" w:cstheme="minorHAnsi"/>
          <w:lang w:val="en-AU"/>
        </w:rPr>
        <w:t>related information in accessible formats such as Braille, Easy Read</w:t>
      </w:r>
      <w:r w:rsidR="001D3FAA" w:rsidRPr="009300C3">
        <w:rPr>
          <w:rFonts w:asciiTheme="minorHAnsi" w:hAnsiTheme="minorHAnsi" w:cstheme="minorHAnsi"/>
          <w:lang w:val="en-AU"/>
        </w:rPr>
        <w:t>,</w:t>
      </w:r>
      <w:r w:rsidRPr="009300C3">
        <w:rPr>
          <w:rFonts w:asciiTheme="minorHAnsi" w:hAnsiTheme="minorHAnsi" w:cstheme="minorHAnsi"/>
          <w:lang w:val="en-AU"/>
        </w:rPr>
        <w:t xml:space="preserve"> and Australian sign language.</w:t>
      </w:r>
    </w:p>
    <w:p w14:paraId="13E0B649" w14:textId="647A35FD" w:rsidR="003A3D67" w:rsidRPr="009300C3" w:rsidRDefault="003A3D67" w:rsidP="003A3D67">
      <w:pPr>
        <w:spacing w:before="120"/>
        <w:rPr>
          <w:rFonts w:asciiTheme="minorHAnsi" w:hAnsiTheme="minorHAnsi" w:cstheme="minorHAnsi"/>
          <w:lang w:val="en-AU"/>
        </w:rPr>
      </w:pPr>
      <w:r w:rsidRPr="009300C3">
        <w:rPr>
          <w:rFonts w:asciiTheme="minorHAnsi" w:hAnsiTheme="minorHAnsi" w:cstheme="minorHAnsi"/>
          <w:b/>
          <w:bCs/>
          <w:lang w:val="en-AU"/>
        </w:rPr>
        <w:t>Recommendation 4:</w:t>
      </w:r>
      <w:r w:rsidR="001D3FAA" w:rsidRPr="009300C3">
        <w:rPr>
          <w:rFonts w:asciiTheme="minorHAnsi" w:hAnsiTheme="minorHAnsi" w:cstheme="minorHAnsi"/>
          <w:b/>
          <w:bCs/>
          <w:lang w:val="en-AU"/>
        </w:rPr>
        <w:t xml:space="preserve"> </w:t>
      </w:r>
      <w:r w:rsidRPr="009300C3">
        <w:rPr>
          <w:rFonts w:asciiTheme="minorHAnsi" w:hAnsiTheme="minorHAnsi" w:cstheme="minorHAnsi"/>
          <w:lang w:val="en-AU"/>
        </w:rPr>
        <w:t>The Department must be directed to undertake targeted consultation with people with disability and their representative organisations to identify and eliminate barriers to accessing dementia related information and services.</w:t>
      </w:r>
    </w:p>
    <w:p w14:paraId="7D1FBE96" w14:textId="77777777" w:rsidR="001B5CF1" w:rsidRPr="009300C3" w:rsidRDefault="001B5CF1" w:rsidP="00885E70">
      <w:pPr>
        <w:rPr>
          <w:rFonts w:asciiTheme="minorHAnsi" w:hAnsiTheme="minorHAnsi" w:cstheme="minorHAnsi"/>
          <w:b/>
          <w:bCs/>
          <w:lang w:val="en-AU"/>
        </w:rPr>
      </w:pPr>
    </w:p>
    <w:p w14:paraId="5C36EDCF" w14:textId="424E02D4" w:rsidR="00D15035" w:rsidRPr="009300C3" w:rsidRDefault="00D15035" w:rsidP="00885E70">
      <w:pPr>
        <w:rPr>
          <w:rFonts w:asciiTheme="minorHAnsi" w:hAnsiTheme="minorHAnsi" w:cstheme="minorHAnsi"/>
          <w:lang w:val="en-AU"/>
        </w:rPr>
      </w:pPr>
    </w:p>
    <w:p w14:paraId="45CF56AF" w14:textId="3E3D3EFB" w:rsidR="00D15035" w:rsidRPr="009300C3" w:rsidRDefault="00D15035" w:rsidP="00885E70">
      <w:pPr>
        <w:rPr>
          <w:rFonts w:asciiTheme="minorHAnsi" w:hAnsiTheme="minorHAnsi" w:cstheme="minorHAnsi"/>
          <w:lang w:val="en-AU"/>
        </w:rPr>
      </w:pPr>
    </w:p>
    <w:p w14:paraId="4EA600FE" w14:textId="5180F9FF" w:rsidR="00D15035" w:rsidRPr="009300C3" w:rsidRDefault="00D15035" w:rsidP="00885E70">
      <w:pPr>
        <w:rPr>
          <w:rFonts w:asciiTheme="minorHAnsi" w:hAnsiTheme="minorHAnsi" w:cstheme="minorHAnsi"/>
          <w:lang w:val="en-AU"/>
        </w:rPr>
      </w:pPr>
    </w:p>
    <w:p w14:paraId="54BB497C" w14:textId="2FFEF0BD" w:rsidR="007F3DF5" w:rsidRPr="009300C3" w:rsidRDefault="007F3DF5" w:rsidP="0043611F">
      <w:pPr>
        <w:rPr>
          <w:rFonts w:asciiTheme="minorHAnsi" w:hAnsiTheme="minorHAnsi" w:cstheme="minorHAnsi"/>
          <w:lang w:val="en-AU"/>
        </w:rPr>
      </w:pPr>
    </w:p>
    <w:p w14:paraId="62666291" w14:textId="0CE041B3" w:rsidR="007F3DF5" w:rsidRPr="009300C3" w:rsidRDefault="007F3DF5" w:rsidP="0043611F">
      <w:pPr>
        <w:rPr>
          <w:rFonts w:asciiTheme="minorHAnsi" w:hAnsiTheme="minorHAnsi" w:cstheme="minorHAnsi"/>
          <w:lang w:val="en-AU"/>
        </w:rPr>
      </w:pPr>
    </w:p>
    <w:p w14:paraId="12452E85" w14:textId="03166A87" w:rsidR="007F3DF5" w:rsidRPr="009300C3" w:rsidRDefault="007F3DF5" w:rsidP="0043611F">
      <w:pPr>
        <w:rPr>
          <w:rFonts w:asciiTheme="minorHAnsi" w:hAnsiTheme="minorHAnsi" w:cstheme="minorHAnsi"/>
          <w:lang w:val="en-AU"/>
        </w:rPr>
      </w:pPr>
    </w:p>
    <w:p w14:paraId="6E733B64" w14:textId="77777777" w:rsidR="00E779D2" w:rsidRPr="009300C3" w:rsidRDefault="00E779D2" w:rsidP="00E779D2">
      <w:pPr>
        <w:rPr>
          <w:rFonts w:asciiTheme="minorHAnsi" w:hAnsiTheme="minorHAnsi" w:cstheme="minorHAnsi"/>
          <w:lang w:val="en-AU"/>
        </w:rPr>
      </w:pPr>
    </w:p>
    <w:p w14:paraId="67F07DDD" w14:textId="77777777" w:rsidR="00E779D2" w:rsidRPr="009300C3" w:rsidRDefault="00E779D2" w:rsidP="00E779D2">
      <w:pPr>
        <w:rPr>
          <w:rFonts w:asciiTheme="minorHAnsi" w:hAnsiTheme="minorHAnsi" w:cstheme="minorHAnsi"/>
          <w:lang w:val="en-AU"/>
        </w:rPr>
      </w:pPr>
    </w:p>
    <w:p w14:paraId="3B701A9D" w14:textId="77777777" w:rsidR="00E779D2" w:rsidRPr="009300C3" w:rsidRDefault="00E779D2" w:rsidP="00E779D2">
      <w:pPr>
        <w:rPr>
          <w:rFonts w:asciiTheme="minorHAnsi" w:hAnsiTheme="minorHAnsi" w:cstheme="minorHAnsi"/>
          <w:lang w:val="en-AU"/>
        </w:rPr>
      </w:pPr>
    </w:p>
    <w:p w14:paraId="2FF5E2E7" w14:textId="77777777" w:rsidR="00E779D2" w:rsidRPr="009300C3" w:rsidRDefault="00E779D2" w:rsidP="00E779D2">
      <w:pPr>
        <w:rPr>
          <w:rFonts w:asciiTheme="minorHAnsi" w:hAnsiTheme="minorHAnsi" w:cstheme="minorHAnsi"/>
          <w:lang w:val="en-AU"/>
        </w:rPr>
      </w:pPr>
    </w:p>
    <w:p w14:paraId="55CC67B5" w14:textId="77777777" w:rsidR="00E779D2" w:rsidRPr="009300C3" w:rsidRDefault="00E779D2" w:rsidP="00E779D2">
      <w:pPr>
        <w:rPr>
          <w:rFonts w:asciiTheme="minorHAnsi" w:hAnsiTheme="minorHAnsi" w:cstheme="minorHAnsi"/>
          <w:lang w:val="en-AU"/>
        </w:rPr>
      </w:pPr>
    </w:p>
    <w:p w14:paraId="06FE8332" w14:textId="77777777" w:rsidR="00E779D2" w:rsidRPr="009300C3" w:rsidRDefault="00E779D2" w:rsidP="00E779D2">
      <w:pPr>
        <w:rPr>
          <w:rFonts w:asciiTheme="minorHAnsi" w:hAnsiTheme="minorHAnsi" w:cstheme="minorHAnsi"/>
          <w:lang w:val="en-AU"/>
        </w:rPr>
      </w:pPr>
    </w:p>
    <w:p w14:paraId="11E871C8" w14:textId="77777777" w:rsidR="00E779D2" w:rsidRPr="009300C3" w:rsidRDefault="00E779D2" w:rsidP="00E779D2">
      <w:pPr>
        <w:rPr>
          <w:rFonts w:asciiTheme="minorHAnsi" w:hAnsiTheme="minorHAnsi" w:cstheme="minorHAnsi"/>
          <w:lang w:val="en-AU"/>
        </w:rPr>
      </w:pPr>
    </w:p>
    <w:p w14:paraId="47982F94" w14:textId="77777777" w:rsidR="00E779D2" w:rsidRPr="009300C3" w:rsidRDefault="00E779D2" w:rsidP="00E779D2">
      <w:pPr>
        <w:rPr>
          <w:rFonts w:asciiTheme="minorHAnsi" w:hAnsiTheme="minorHAnsi" w:cstheme="minorHAnsi"/>
          <w:lang w:val="en-AU"/>
        </w:rPr>
      </w:pPr>
    </w:p>
    <w:p w14:paraId="4A964F4F" w14:textId="77777777" w:rsidR="00E779D2" w:rsidRPr="009300C3" w:rsidRDefault="00E779D2" w:rsidP="00E779D2">
      <w:pPr>
        <w:rPr>
          <w:rFonts w:asciiTheme="minorHAnsi" w:hAnsiTheme="minorHAnsi" w:cstheme="minorHAnsi"/>
          <w:lang w:val="en-AU"/>
        </w:rPr>
      </w:pPr>
    </w:p>
    <w:p w14:paraId="18C3DD76" w14:textId="77777777" w:rsidR="00E779D2" w:rsidRPr="009300C3" w:rsidRDefault="00E779D2" w:rsidP="00E779D2">
      <w:pPr>
        <w:rPr>
          <w:rFonts w:asciiTheme="minorHAnsi" w:hAnsiTheme="minorHAnsi" w:cstheme="minorHAnsi"/>
          <w:lang w:val="en-AU"/>
        </w:rPr>
      </w:pPr>
    </w:p>
    <w:p w14:paraId="663F6509" w14:textId="77777777" w:rsidR="00E779D2" w:rsidRPr="009300C3" w:rsidRDefault="00E779D2" w:rsidP="00E779D2">
      <w:pPr>
        <w:rPr>
          <w:rFonts w:asciiTheme="minorHAnsi" w:hAnsiTheme="minorHAnsi" w:cstheme="minorHAnsi"/>
          <w:lang w:val="en-AU"/>
        </w:rPr>
      </w:pPr>
    </w:p>
    <w:p w14:paraId="7ED1AD6C" w14:textId="77777777" w:rsidR="00E779D2" w:rsidRPr="009300C3" w:rsidRDefault="00E779D2" w:rsidP="00E779D2">
      <w:pPr>
        <w:rPr>
          <w:rFonts w:asciiTheme="minorHAnsi" w:hAnsiTheme="minorHAnsi" w:cstheme="minorHAnsi"/>
          <w:lang w:val="en-AU"/>
        </w:rPr>
      </w:pPr>
    </w:p>
    <w:p w14:paraId="18ACEDDA" w14:textId="77777777" w:rsidR="00E779D2" w:rsidRPr="009300C3" w:rsidRDefault="00E779D2" w:rsidP="00E779D2">
      <w:pPr>
        <w:rPr>
          <w:rFonts w:asciiTheme="minorHAnsi" w:hAnsiTheme="minorHAnsi" w:cstheme="minorHAnsi"/>
          <w:lang w:val="en-AU"/>
        </w:rPr>
      </w:pPr>
    </w:p>
    <w:p w14:paraId="54879B7E" w14:textId="6B371FC2" w:rsidR="003A692C" w:rsidRPr="009300C3" w:rsidRDefault="00E779D2" w:rsidP="00E779D2">
      <w:pPr>
        <w:pStyle w:val="HeadingNew"/>
        <w:rPr>
          <w:lang w:val="en-AU"/>
        </w:rPr>
      </w:pPr>
      <w:r w:rsidRPr="009300C3">
        <w:rPr>
          <w:lang w:val="en-AU"/>
        </w:rPr>
        <w:lastRenderedPageBreak/>
        <w:t xml:space="preserve">Improving outcomes for People with Down Syndrome </w:t>
      </w:r>
    </w:p>
    <w:p w14:paraId="78B0EA02" w14:textId="2E1C931F" w:rsidR="00665690" w:rsidRPr="009300C3" w:rsidRDefault="00665690" w:rsidP="00665690">
      <w:pPr>
        <w:rPr>
          <w:rFonts w:asciiTheme="minorHAnsi" w:hAnsiTheme="minorHAnsi" w:cstheme="minorHAnsi"/>
          <w:lang w:val="en-AU"/>
        </w:rPr>
      </w:pPr>
      <w:r w:rsidRPr="009300C3">
        <w:rPr>
          <w:rFonts w:asciiTheme="minorHAnsi" w:hAnsiTheme="minorHAnsi" w:cstheme="minorHAnsi"/>
          <w:lang w:val="en-AU"/>
        </w:rPr>
        <w:t xml:space="preserve">The Department’s consultation paper acknowledges that there is a high prevalence of dementia among people with Down Syndrome, with around 50% of people with </w:t>
      </w:r>
      <w:r w:rsidR="002A20ED">
        <w:rPr>
          <w:rFonts w:asciiTheme="minorHAnsi" w:hAnsiTheme="minorHAnsi" w:cstheme="minorHAnsi"/>
          <w:lang w:val="en-AU"/>
        </w:rPr>
        <w:t>Down S</w:t>
      </w:r>
      <w:r w:rsidRPr="009300C3">
        <w:rPr>
          <w:rFonts w:asciiTheme="minorHAnsi" w:hAnsiTheme="minorHAnsi" w:cstheme="minorHAnsi"/>
          <w:lang w:val="en-AU"/>
        </w:rPr>
        <w:t>yndrome developing dementia by age 60</w:t>
      </w:r>
      <w:r w:rsidR="002A20ED">
        <w:rPr>
          <w:rFonts w:asciiTheme="minorHAnsi" w:hAnsiTheme="minorHAnsi" w:cstheme="minorHAnsi"/>
          <w:lang w:val="en-AU"/>
        </w:rPr>
        <w:t xml:space="preserve">. </w:t>
      </w:r>
      <w:r w:rsidRPr="009300C3">
        <w:rPr>
          <w:rFonts w:asciiTheme="minorHAnsi" w:hAnsiTheme="minorHAnsi" w:cstheme="minorHAnsi"/>
          <w:lang w:val="en-AU"/>
        </w:rPr>
        <w:t>We recommend the Department work closely with AFDO member organisation, Down Syndrome Australia, to further develop and refine aspects of the Action Plan relating to the experience of people with Down Syndrome. The Down Syndrome Federation is made up of State and Territory associations providing support, information, and resources to people with Down syndrome and their families across the country. The associations have come together to represent and progress the needs, interests, and aspirations of people with Down Syndrome and those that support them.</w:t>
      </w:r>
      <w:r w:rsidRPr="009300C3">
        <w:rPr>
          <w:rFonts w:asciiTheme="minorHAnsi" w:hAnsiTheme="minorHAnsi" w:cstheme="minorHAnsi"/>
          <w:lang w:val="en-AU"/>
        </w:rPr>
        <w:br/>
      </w:r>
    </w:p>
    <w:p w14:paraId="5D391ABE" w14:textId="0E97372F" w:rsidR="00665690" w:rsidRPr="009300C3" w:rsidRDefault="00665690" w:rsidP="00665690">
      <w:pPr>
        <w:rPr>
          <w:rFonts w:asciiTheme="minorHAnsi" w:hAnsiTheme="minorHAnsi" w:cstheme="minorHAnsi"/>
          <w:lang w:val="en-AU"/>
        </w:rPr>
      </w:pPr>
      <w:r w:rsidRPr="009300C3">
        <w:rPr>
          <w:rFonts w:asciiTheme="minorHAnsi" w:hAnsiTheme="minorHAnsi" w:cstheme="minorHAnsi"/>
          <w:b/>
          <w:bCs/>
          <w:lang w:val="en-AU"/>
        </w:rPr>
        <w:t xml:space="preserve">Recommendation 5: </w:t>
      </w:r>
      <w:r w:rsidRPr="009300C3">
        <w:rPr>
          <w:rFonts w:asciiTheme="minorHAnsi" w:hAnsiTheme="minorHAnsi" w:cstheme="minorHAnsi"/>
          <w:lang w:val="en-AU"/>
        </w:rPr>
        <w:t>The Department must work directly with Down Syndrome Australia to further refine aspects of the National Dementia Action Plan relating to the prevention, care and treatment of people with Down Syndrome who are at risk of, or who already have a diagnosis of dementia.</w:t>
      </w:r>
    </w:p>
    <w:p w14:paraId="5A2CB2CE" w14:textId="7FD47388" w:rsidR="00346092" w:rsidRPr="009300C3" w:rsidRDefault="00346092" w:rsidP="00665690">
      <w:pPr>
        <w:rPr>
          <w:rFonts w:asciiTheme="minorHAnsi" w:hAnsiTheme="minorHAnsi" w:cstheme="minorHAnsi"/>
          <w:lang w:val="en-AU"/>
        </w:rPr>
      </w:pPr>
    </w:p>
    <w:p w14:paraId="14611B6D" w14:textId="6C65D12D" w:rsidR="00346092" w:rsidRPr="009300C3" w:rsidRDefault="00346092" w:rsidP="00665690">
      <w:pPr>
        <w:rPr>
          <w:rFonts w:asciiTheme="minorHAnsi" w:hAnsiTheme="minorHAnsi" w:cstheme="minorHAnsi"/>
          <w:lang w:val="en-AU"/>
        </w:rPr>
      </w:pPr>
    </w:p>
    <w:p w14:paraId="1916AE7A" w14:textId="16302D01" w:rsidR="00346092" w:rsidRPr="009300C3" w:rsidRDefault="00346092" w:rsidP="00665690">
      <w:pPr>
        <w:rPr>
          <w:rFonts w:asciiTheme="minorHAnsi" w:hAnsiTheme="minorHAnsi" w:cstheme="minorHAnsi"/>
          <w:lang w:val="en-AU"/>
        </w:rPr>
      </w:pPr>
    </w:p>
    <w:p w14:paraId="513B390F" w14:textId="6808C90B" w:rsidR="00346092" w:rsidRPr="009300C3" w:rsidRDefault="00346092" w:rsidP="00665690">
      <w:pPr>
        <w:rPr>
          <w:rFonts w:asciiTheme="minorHAnsi" w:hAnsiTheme="minorHAnsi" w:cstheme="minorHAnsi"/>
          <w:lang w:val="en-AU"/>
        </w:rPr>
      </w:pPr>
    </w:p>
    <w:p w14:paraId="3415879C" w14:textId="390032A1" w:rsidR="00346092" w:rsidRPr="009300C3" w:rsidRDefault="00346092" w:rsidP="00665690">
      <w:pPr>
        <w:rPr>
          <w:rFonts w:asciiTheme="minorHAnsi" w:hAnsiTheme="minorHAnsi" w:cstheme="minorHAnsi"/>
          <w:lang w:val="en-AU"/>
        </w:rPr>
      </w:pPr>
    </w:p>
    <w:p w14:paraId="57A324DA" w14:textId="28C99B49" w:rsidR="00346092" w:rsidRPr="009300C3" w:rsidRDefault="00346092" w:rsidP="00665690">
      <w:pPr>
        <w:rPr>
          <w:rFonts w:asciiTheme="minorHAnsi" w:hAnsiTheme="minorHAnsi" w:cstheme="minorHAnsi"/>
          <w:lang w:val="en-AU"/>
        </w:rPr>
      </w:pPr>
    </w:p>
    <w:p w14:paraId="5956FC0F" w14:textId="7910C2A8" w:rsidR="00346092" w:rsidRPr="009300C3" w:rsidRDefault="00346092" w:rsidP="00665690">
      <w:pPr>
        <w:rPr>
          <w:rFonts w:asciiTheme="minorHAnsi" w:hAnsiTheme="minorHAnsi" w:cstheme="minorHAnsi"/>
          <w:lang w:val="en-AU"/>
        </w:rPr>
      </w:pPr>
    </w:p>
    <w:p w14:paraId="1308A6DD" w14:textId="4DF61B44" w:rsidR="00346092" w:rsidRPr="009300C3" w:rsidRDefault="00346092" w:rsidP="00665690">
      <w:pPr>
        <w:rPr>
          <w:rFonts w:asciiTheme="minorHAnsi" w:hAnsiTheme="minorHAnsi" w:cstheme="minorHAnsi"/>
          <w:lang w:val="en-AU"/>
        </w:rPr>
      </w:pPr>
    </w:p>
    <w:p w14:paraId="7580D545" w14:textId="6A82A28A" w:rsidR="00346092" w:rsidRPr="009300C3" w:rsidRDefault="00346092" w:rsidP="00665690">
      <w:pPr>
        <w:rPr>
          <w:rFonts w:asciiTheme="minorHAnsi" w:hAnsiTheme="minorHAnsi" w:cstheme="minorHAnsi"/>
          <w:lang w:val="en-AU"/>
        </w:rPr>
      </w:pPr>
    </w:p>
    <w:p w14:paraId="47FDF434" w14:textId="327CA026" w:rsidR="005B4C28" w:rsidRPr="009300C3" w:rsidRDefault="00346092" w:rsidP="005B4C28">
      <w:pPr>
        <w:pStyle w:val="HeadingNew"/>
        <w:rPr>
          <w:lang w:val="en-AU"/>
        </w:rPr>
      </w:pPr>
      <w:r w:rsidRPr="009300C3">
        <w:rPr>
          <w:lang w:val="en-AU"/>
        </w:rPr>
        <w:lastRenderedPageBreak/>
        <w:t>Adequately addressing the link between brain injury and dementia</w:t>
      </w:r>
    </w:p>
    <w:p w14:paraId="10D3E7C2" w14:textId="154F363C" w:rsidR="005B4C28" w:rsidRPr="009300C3" w:rsidRDefault="005B4C28" w:rsidP="005B4C28">
      <w:pPr>
        <w:rPr>
          <w:rFonts w:asciiTheme="minorHAnsi" w:hAnsiTheme="minorHAnsi" w:cstheme="minorHAnsi"/>
          <w:lang w:val="en-AU"/>
        </w:rPr>
      </w:pPr>
      <w:r w:rsidRPr="009300C3">
        <w:rPr>
          <w:rFonts w:asciiTheme="minorHAnsi" w:hAnsiTheme="minorHAnsi" w:cstheme="minorHAnsi"/>
          <w:lang w:val="en-AU"/>
        </w:rPr>
        <w:t xml:space="preserve">The Department’s consultation paper acknowledges that people who have a significant brain injury are more likely to develop early onset dementia, or dementia later in life. AFDO member organisation, Brain Injury Australia, has extensive expertise in this area and will be able to advise further on relevant measures and targets that need to be reflected in the National Action Plan. Brain Injury Australia is the central clearinghouse of information and gateway to nationwide referral for optimising the social and economic participation of all Australians living with brain injury. </w:t>
      </w:r>
      <w:r w:rsidRPr="009300C3">
        <w:rPr>
          <w:rFonts w:asciiTheme="minorHAnsi" w:hAnsiTheme="minorHAnsi" w:cstheme="minorHAnsi"/>
          <w:lang w:val="en-AU"/>
        </w:rPr>
        <w:br/>
      </w:r>
    </w:p>
    <w:p w14:paraId="2C22E25A" w14:textId="30FD143B" w:rsidR="005B4C28" w:rsidRPr="009300C3" w:rsidRDefault="005B4C28" w:rsidP="005B4C28">
      <w:pPr>
        <w:rPr>
          <w:rFonts w:asciiTheme="minorHAnsi" w:hAnsiTheme="minorHAnsi" w:cstheme="minorHAnsi"/>
          <w:lang w:val="en-AU"/>
        </w:rPr>
      </w:pPr>
      <w:r w:rsidRPr="009300C3">
        <w:rPr>
          <w:rFonts w:asciiTheme="minorHAnsi" w:hAnsiTheme="minorHAnsi" w:cstheme="minorHAnsi"/>
          <w:b/>
          <w:bCs/>
          <w:lang w:val="en-AU"/>
        </w:rPr>
        <w:t>Recommendation 6:</w:t>
      </w:r>
      <w:r w:rsidRPr="009300C3">
        <w:rPr>
          <w:rFonts w:asciiTheme="minorHAnsi" w:hAnsiTheme="minorHAnsi" w:cstheme="minorHAnsi"/>
          <w:lang w:val="en-AU"/>
        </w:rPr>
        <w:t xml:space="preserve"> The Department must engage directly with Brain Injury Australia as it seeks to further develop and refine aspects of the National Dementia Action Plan relating to the prevention, care and treatment of dementia for people with brain injury.</w:t>
      </w:r>
    </w:p>
    <w:p w14:paraId="59634C09" w14:textId="5168D939" w:rsidR="00346092" w:rsidRPr="009300C3" w:rsidRDefault="00346092" w:rsidP="00665690">
      <w:pPr>
        <w:rPr>
          <w:rFonts w:asciiTheme="minorHAnsi" w:hAnsiTheme="minorHAnsi" w:cstheme="minorHAnsi"/>
          <w:lang w:val="en-AU"/>
        </w:rPr>
      </w:pPr>
    </w:p>
    <w:p w14:paraId="3E624563" w14:textId="31EB38F7" w:rsidR="00346092" w:rsidRPr="009300C3" w:rsidRDefault="00346092" w:rsidP="00665690">
      <w:pPr>
        <w:rPr>
          <w:rFonts w:asciiTheme="minorHAnsi" w:hAnsiTheme="minorHAnsi" w:cstheme="minorHAnsi"/>
          <w:lang w:val="en-AU"/>
        </w:rPr>
      </w:pPr>
    </w:p>
    <w:p w14:paraId="27F52EC1" w14:textId="040F5F7C" w:rsidR="005B4C28" w:rsidRPr="009300C3" w:rsidRDefault="005B4C28" w:rsidP="00665690">
      <w:pPr>
        <w:rPr>
          <w:rFonts w:asciiTheme="minorHAnsi" w:hAnsiTheme="minorHAnsi" w:cstheme="minorHAnsi"/>
          <w:lang w:val="en-AU"/>
        </w:rPr>
      </w:pPr>
    </w:p>
    <w:p w14:paraId="5CCEC274" w14:textId="0306D501" w:rsidR="005B4C28" w:rsidRPr="009300C3" w:rsidRDefault="005B4C28" w:rsidP="00665690">
      <w:pPr>
        <w:rPr>
          <w:rFonts w:asciiTheme="minorHAnsi" w:hAnsiTheme="minorHAnsi" w:cstheme="minorHAnsi"/>
          <w:lang w:val="en-AU"/>
        </w:rPr>
      </w:pPr>
    </w:p>
    <w:p w14:paraId="38263A51" w14:textId="2D97FCB0" w:rsidR="005B4C28" w:rsidRPr="009300C3" w:rsidRDefault="005B4C28" w:rsidP="00665690">
      <w:pPr>
        <w:rPr>
          <w:rFonts w:asciiTheme="minorHAnsi" w:hAnsiTheme="minorHAnsi" w:cstheme="minorHAnsi"/>
          <w:lang w:val="en-AU"/>
        </w:rPr>
      </w:pPr>
    </w:p>
    <w:p w14:paraId="3AC5AC74" w14:textId="4C75A0AD" w:rsidR="005B4C28" w:rsidRPr="009300C3" w:rsidRDefault="005B4C28" w:rsidP="00665690">
      <w:pPr>
        <w:rPr>
          <w:rFonts w:asciiTheme="minorHAnsi" w:hAnsiTheme="minorHAnsi" w:cstheme="minorHAnsi"/>
          <w:lang w:val="en-AU"/>
        </w:rPr>
      </w:pPr>
    </w:p>
    <w:p w14:paraId="57A1F213" w14:textId="7AD0ABF3" w:rsidR="005B4C28" w:rsidRPr="009300C3" w:rsidRDefault="005B4C28" w:rsidP="00665690">
      <w:pPr>
        <w:rPr>
          <w:rFonts w:asciiTheme="minorHAnsi" w:hAnsiTheme="minorHAnsi" w:cstheme="minorHAnsi"/>
          <w:lang w:val="en-AU"/>
        </w:rPr>
      </w:pPr>
    </w:p>
    <w:p w14:paraId="32617C71" w14:textId="60EFDBEE" w:rsidR="005B4C28" w:rsidRPr="009300C3" w:rsidRDefault="005B4C28" w:rsidP="00665690">
      <w:pPr>
        <w:rPr>
          <w:rFonts w:asciiTheme="minorHAnsi" w:hAnsiTheme="minorHAnsi" w:cstheme="minorHAnsi"/>
          <w:lang w:val="en-AU"/>
        </w:rPr>
      </w:pPr>
    </w:p>
    <w:p w14:paraId="6CD53457" w14:textId="4A45E99D" w:rsidR="005B4C28" w:rsidRPr="009300C3" w:rsidRDefault="005B4C28" w:rsidP="00665690">
      <w:pPr>
        <w:rPr>
          <w:rFonts w:asciiTheme="minorHAnsi" w:hAnsiTheme="minorHAnsi" w:cstheme="minorHAnsi"/>
          <w:lang w:val="en-AU"/>
        </w:rPr>
      </w:pPr>
    </w:p>
    <w:p w14:paraId="771FF72F" w14:textId="205ACD66" w:rsidR="005B4C28" w:rsidRPr="009300C3" w:rsidRDefault="005B4C28" w:rsidP="00665690">
      <w:pPr>
        <w:rPr>
          <w:rFonts w:asciiTheme="minorHAnsi" w:hAnsiTheme="minorHAnsi" w:cstheme="minorHAnsi"/>
          <w:lang w:val="en-AU"/>
        </w:rPr>
      </w:pPr>
    </w:p>
    <w:p w14:paraId="56867754" w14:textId="7F9CB0F9" w:rsidR="005B4C28" w:rsidRPr="009300C3" w:rsidRDefault="005B4C28" w:rsidP="00665690">
      <w:pPr>
        <w:rPr>
          <w:rFonts w:asciiTheme="minorHAnsi" w:hAnsiTheme="minorHAnsi" w:cstheme="minorHAnsi"/>
          <w:lang w:val="en-AU"/>
        </w:rPr>
      </w:pPr>
    </w:p>
    <w:p w14:paraId="393E2A08" w14:textId="20DF4C33" w:rsidR="005B4C28" w:rsidRPr="009300C3" w:rsidRDefault="005B4C28" w:rsidP="00665690">
      <w:pPr>
        <w:rPr>
          <w:rFonts w:asciiTheme="minorHAnsi" w:hAnsiTheme="minorHAnsi" w:cstheme="minorHAnsi"/>
          <w:lang w:val="en-AU"/>
        </w:rPr>
      </w:pPr>
    </w:p>
    <w:p w14:paraId="317B0B75" w14:textId="5873538E" w:rsidR="005B4C28" w:rsidRPr="009300C3" w:rsidRDefault="005B4C28" w:rsidP="00665690">
      <w:pPr>
        <w:rPr>
          <w:rFonts w:asciiTheme="minorHAnsi" w:hAnsiTheme="minorHAnsi" w:cstheme="minorHAnsi"/>
          <w:lang w:val="en-AU"/>
        </w:rPr>
      </w:pPr>
    </w:p>
    <w:p w14:paraId="5B59566F" w14:textId="0D55D717" w:rsidR="005B4C28" w:rsidRPr="009300C3" w:rsidRDefault="005B4C28" w:rsidP="00665690">
      <w:pPr>
        <w:rPr>
          <w:rFonts w:asciiTheme="minorHAnsi" w:hAnsiTheme="minorHAnsi" w:cstheme="minorHAnsi"/>
          <w:lang w:val="en-AU"/>
        </w:rPr>
      </w:pPr>
    </w:p>
    <w:p w14:paraId="31293D03" w14:textId="1D1F9B89" w:rsidR="005B4C28" w:rsidRPr="009300C3" w:rsidRDefault="00A3236D" w:rsidP="00A3236D">
      <w:pPr>
        <w:pStyle w:val="HeadingNew"/>
        <w:rPr>
          <w:lang w:val="en-AU"/>
        </w:rPr>
      </w:pPr>
      <w:r w:rsidRPr="009300C3">
        <w:rPr>
          <w:lang w:val="en-AU"/>
        </w:rPr>
        <w:lastRenderedPageBreak/>
        <w:t>Prioritising supported decision-making under the new Action Plan</w:t>
      </w:r>
    </w:p>
    <w:p w14:paraId="2314B7DD" w14:textId="7BF23401" w:rsidR="00330542" w:rsidRPr="009300C3" w:rsidRDefault="00330542" w:rsidP="00B97BFB">
      <w:pPr>
        <w:spacing w:before="120"/>
        <w:rPr>
          <w:rFonts w:asciiTheme="minorHAnsi" w:hAnsiTheme="minorHAnsi" w:cstheme="minorHAnsi"/>
          <w:lang w:val="en-AU"/>
        </w:rPr>
      </w:pPr>
      <w:r w:rsidRPr="009300C3">
        <w:rPr>
          <w:rFonts w:asciiTheme="minorHAnsi" w:hAnsiTheme="minorHAnsi" w:cstheme="minorHAnsi"/>
          <w:lang w:val="en-AU"/>
        </w:rPr>
        <w:t xml:space="preserve">While the consultation paper acknowledges the need for supported decision-making, it does not propose any targeted actions aimed at upholding and strengthening an individual’s right to supported decision-making in the context of </w:t>
      </w:r>
      <w:r w:rsidR="005F6AA0" w:rsidRPr="009300C3">
        <w:rPr>
          <w:rFonts w:asciiTheme="minorHAnsi" w:hAnsiTheme="minorHAnsi" w:cstheme="minorHAnsi"/>
          <w:lang w:val="en-AU"/>
        </w:rPr>
        <w:t>d</w:t>
      </w:r>
      <w:r w:rsidRPr="009300C3">
        <w:rPr>
          <w:rFonts w:asciiTheme="minorHAnsi" w:hAnsiTheme="minorHAnsi" w:cstheme="minorHAnsi"/>
          <w:lang w:val="en-AU"/>
        </w:rPr>
        <w:t>ementia care. As such, we remind the Department that the right to supported-decision making is central to Australia’s obligations under Article 12 of the Convention on the Rights of Persons with Disabilities (Equal recognition before the law). Article 12 requires that:</w:t>
      </w:r>
      <w:r w:rsidR="00B97BFB" w:rsidRPr="009300C3">
        <w:rPr>
          <w:rFonts w:asciiTheme="minorHAnsi" w:hAnsiTheme="minorHAnsi" w:cstheme="minorHAnsi"/>
          <w:lang w:val="en-AU"/>
        </w:rPr>
        <w:br/>
      </w:r>
    </w:p>
    <w:p w14:paraId="6CDE6A21" w14:textId="510FCC02" w:rsidR="00330542" w:rsidRPr="009300C3" w:rsidRDefault="00330542" w:rsidP="00B97BFB">
      <w:pPr>
        <w:pStyle w:val="ListParagraph"/>
        <w:numPr>
          <w:ilvl w:val="0"/>
          <w:numId w:val="27"/>
        </w:numPr>
        <w:rPr>
          <w:rFonts w:asciiTheme="minorHAnsi" w:hAnsiTheme="minorHAnsi" w:cstheme="minorHAnsi"/>
          <w:i/>
          <w:iCs/>
          <w:lang w:val="en-AU"/>
        </w:rPr>
      </w:pPr>
      <w:r w:rsidRPr="009300C3">
        <w:rPr>
          <w:rFonts w:asciiTheme="minorHAnsi" w:hAnsiTheme="minorHAnsi" w:cstheme="minorHAnsi"/>
          <w:i/>
          <w:iCs/>
          <w:lang w:val="en-AU"/>
        </w:rPr>
        <w:t>States Parties reaffirm that persons with disabilities have the right to recognition everywhere as persons before the law.</w:t>
      </w:r>
      <w:r w:rsidR="00B97BFB" w:rsidRPr="009300C3">
        <w:rPr>
          <w:rFonts w:asciiTheme="minorHAnsi" w:hAnsiTheme="minorHAnsi" w:cstheme="minorHAnsi"/>
          <w:i/>
          <w:iCs/>
          <w:lang w:val="en-AU"/>
        </w:rPr>
        <w:br/>
      </w:r>
    </w:p>
    <w:p w14:paraId="03E60220" w14:textId="77777777" w:rsidR="00B97BFB" w:rsidRPr="009300C3" w:rsidRDefault="00330542" w:rsidP="00B97BFB">
      <w:pPr>
        <w:pStyle w:val="ListParagraph"/>
        <w:numPr>
          <w:ilvl w:val="0"/>
          <w:numId w:val="27"/>
        </w:numPr>
        <w:rPr>
          <w:rFonts w:asciiTheme="minorHAnsi" w:hAnsiTheme="minorHAnsi" w:cstheme="minorHAnsi"/>
          <w:i/>
          <w:iCs/>
          <w:lang w:val="en-AU"/>
        </w:rPr>
      </w:pPr>
      <w:r w:rsidRPr="009300C3">
        <w:rPr>
          <w:rFonts w:asciiTheme="minorHAnsi" w:hAnsiTheme="minorHAnsi" w:cstheme="minorHAnsi"/>
          <w:i/>
          <w:iCs/>
          <w:lang w:val="en-AU"/>
        </w:rPr>
        <w:t>States Parties shall recognize that persons with disabilities enjoy legal capacity on an equal basis with others in all aspects of life.</w:t>
      </w:r>
      <w:r w:rsidR="00B97BFB" w:rsidRPr="009300C3">
        <w:rPr>
          <w:rFonts w:asciiTheme="minorHAnsi" w:hAnsiTheme="minorHAnsi" w:cstheme="minorHAnsi"/>
          <w:i/>
          <w:iCs/>
          <w:lang w:val="en-AU"/>
        </w:rPr>
        <w:br/>
      </w:r>
    </w:p>
    <w:p w14:paraId="76BDF73D" w14:textId="77777777" w:rsidR="00B97BFB" w:rsidRPr="009300C3" w:rsidRDefault="00330542" w:rsidP="00B97BFB">
      <w:pPr>
        <w:pStyle w:val="ListParagraph"/>
        <w:numPr>
          <w:ilvl w:val="0"/>
          <w:numId w:val="27"/>
        </w:numPr>
        <w:rPr>
          <w:rFonts w:asciiTheme="minorHAnsi" w:hAnsiTheme="minorHAnsi" w:cstheme="minorHAnsi"/>
          <w:i/>
          <w:iCs/>
          <w:lang w:val="en-AU"/>
        </w:rPr>
      </w:pPr>
      <w:r w:rsidRPr="009300C3">
        <w:rPr>
          <w:rFonts w:asciiTheme="minorHAnsi" w:hAnsiTheme="minorHAnsi" w:cstheme="minorHAnsi"/>
          <w:i/>
          <w:iCs/>
          <w:lang w:val="en-AU"/>
        </w:rPr>
        <w:t>States Parties shall take appropriate measures to provide access by persons with disabilities to the support they may require in exercising their legal capacity.</w:t>
      </w:r>
      <w:r w:rsidR="00B97BFB" w:rsidRPr="009300C3">
        <w:rPr>
          <w:rFonts w:asciiTheme="minorHAnsi" w:hAnsiTheme="minorHAnsi" w:cstheme="minorHAnsi"/>
          <w:i/>
          <w:iCs/>
          <w:lang w:val="en-AU"/>
        </w:rPr>
        <w:br/>
      </w:r>
    </w:p>
    <w:p w14:paraId="7F29F625" w14:textId="35B8A966" w:rsidR="00330542" w:rsidRPr="009300C3" w:rsidRDefault="00330542" w:rsidP="00330542">
      <w:pPr>
        <w:pStyle w:val="ListParagraph"/>
        <w:numPr>
          <w:ilvl w:val="0"/>
          <w:numId w:val="27"/>
        </w:numPr>
        <w:rPr>
          <w:rFonts w:asciiTheme="minorHAnsi" w:hAnsiTheme="minorHAnsi" w:cstheme="minorHAnsi"/>
          <w:i/>
          <w:iCs/>
          <w:lang w:val="en-AU"/>
        </w:rPr>
      </w:pPr>
      <w:r w:rsidRPr="009300C3">
        <w:rPr>
          <w:rFonts w:asciiTheme="minorHAnsi" w:hAnsiTheme="minorHAnsi" w:cstheme="minorHAnsi"/>
          <w:i/>
          <w:iCs/>
          <w:lang w:val="en-AU"/>
        </w:rPr>
        <w:t>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r w:rsidR="008F0B7D" w:rsidRPr="009300C3">
        <w:rPr>
          <w:rFonts w:asciiTheme="minorHAnsi" w:hAnsiTheme="minorHAnsi" w:cstheme="minorHAnsi"/>
          <w:i/>
          <w:iCs/>
          <w:lang w:val="en-AU"/>
        </w:rPr>
        <w:t xml:space="preserve"> </w:t>
      </w:r>
      <w:r w:rsidR="00B97BFB" w:rsidRPr="009300C3">
        <w:rPr>
          <w:rFonts w:asciiTheme="minorHAnsi" w:hAnsiTheme="minorHAnsi" w:cstheme="minorHAnsi"/>
          <w:i/>
          <w:iCs/>
          <w:lang w:val="en-AU"/>
        </w:rPr>
        <w:br/>
      </w:r>
    </w:p>
    <w:p w14:paraId="07D4D3FE" w14:textId="085E714C" w:rsidR="00330542" w:rsidRPr="009300C3" w:rsidRDefault="00330542" w:rsidP="00330542">
      <w:pPr>
        <w:spacing w:before="120"/>
        <w:rPr>
          <w:rFonts w:asciiTheme="minorHAnsi" w:hAnsiTheme="minorHAnsi" w:cstheme="minorHAnsi"/>
          <w:lang w:val="en-AU"/>
        </w:rPr>
      </w:pPr>
      <w:r w:rsidRPr="009300C3">
        <w:rPr>
          <w:rFonts w:asciiTheme="minorHAnsi" w:hAnsiTheme="minorHAnsi" w:cstheme="minorHAnsi"/>
          <w:lang w:val="en-AU"/>
        </w:rPr>
        <w:t>In 2014, the Australian Law Reform Commission published a report entitled</w:t>
      </w:r>
      <w:r w:rsidR="0044525F" w:rsidRPr="009300C3">
        <w:rPr>
          <w:rFonts w:asciiTheme="minorHAnsi" w:hAnsiTheme="minorHAnsi" w:cstheme="minorHAnsi"/>
          <w:lang w:val="en-AU"/>
        </w:rPr>
        <w:t xml:space="preserve"> </w:t>
      </w:r>
      <w:r w:rsidRPr="009300C3">
        <w:rPr>
          <w:rFonts w:asciiTheme="minorHAnsi" w:hAnsiTheme="minorHAnsi" w:cstheme="minorHAnsi"/>
          <w:i/>
          <w:iCs/>
          <w:lang w:val="en-AU"/>
        </w:rPr>
        <w:t xml:space="preserve">Equality, Capacity and Disability in Commonwealth </w:t>
      </w:r>
      <w:r w:rsidR="0044525F" w:rsidRPr="009300C3">
        <w:rPr>
          <w:rFonts w:asciiTheme="minorHAnsi" w:hAnsiTheme="minorHAnsi" w:cstheme="minorHAnsi"/>
          <w:i/>
          <w:iCs/>
          <w:lang w:val="en-AU"/>
        </w:rPr>
        <w:t>L</w:t>
      </w:r>
      <w:r w:rsidRPr="009300C3">
        <w:rPr>
          <w:rFonts w:asciiTheme="minorHAnsi" w:hAnsiTheme="minorHAnsi" w:cstheme="minorHAnsi"/>
          <w:i/>
          <w:iCs/>
          <w:lang w:val="en-AU"/>
        </w:rPr>
        <w:t>aws</w:t>
      </w:r>
      <w:r w:rsidRPr="009300C3">
        <w:rPr>
          <w:rFonts w:asciiTheme="minorHAnsi" w:hAnsiTheme="minorHAnsi" w:cstheme="minorHAnsi"/>
          <w:lang w:val="en-AU"/>
        </w:rPr>
        <w:t>. This report included a number of recommendations aimed at strengthening supported decision-making which have still not been implemented. In its concluding observations on the combined second and third periodic reports of Australia, the Committee on the Rights of Persons with Disabilities recommended that Australia:</w:t>
      </w:r>
    </w:p>
    <w:p w14:paraId="0AD57624" w14:textId="77777777" w:rsidR="00330542" w:rsidRPr="009300C3" w:rsidRDefault="00330542" w:rsidP="00330542">
      <w:pPr>
        <w:spacing w:before="120"/>
        <w:rPr>
          <w:rFonts w:asciiTheme="minorHAnsi" w:hAnsiTheme="minorHAnsi" w:cstheme="minorHAnsi"/>
          <w:lang w:val="en-AU"/>
        </w:rPr>
      </w:pPr>
    </w:p>
    <w:p w14:paraId="4643FD01" w14:textId="3B12FEB7" w:rsidR="00330542" w:rsidRPr="009300C3" w:rsidRDefault="00330542" w:rsidP="0044525F">
      <w:pPr>
        <w:spacing w:before="120"/>
        <w:ind w:left="720"/>
        <w:rPr>
          <w:rFonts w:asciiTheme="minorHAnsi" w:hAnsiTheme="minorHAnsi" w:cstheme="minorHAnsi"/>
          <w:i/>
          <w:iCs/>
          <w:lang w:val="en-AU"/>
        </w:rPr>
      </w:pPr>
      <w:r w:rsidRPr="009300C3">
        <w:rPr>
          <w:rFonts w:asciiTheme="minorHAnsi" w:hAnsiTheme="minorHAnsi" w:cstheme="minorHAnsi"/>
          <w:i/>
          <w:iCs/>
          <w:lang w:val="en-AU"/>
        </w:rPr>
        <w:lastRenderedPageBreak/>
        <w:t>“Implement a nationally consistent supported decision-making framework, as recommended in a 2014 report of the Australian Law Reform Commission entitled Equality, Capacity and Disability in Commonwealth Laws.</w:t>
      </w:r>
      <w:r w:rsidR="0044525F" w:rsidRPr="009300C3">
        <w:rPr>
          <w:rFonts w:asciiTheme="minorHAnsi" w:hAnsiTheme="minorHAnsi" w:cstheme="minorHAnsi"/>
          <w:i/>
          <w:iCs/>
          <w:lang w:val="en-AU"/>
        </w:rPr>
        <w:t>”</w:t>
      </w:r>
      <w:r w:rsidR="0044525F" w:rsidRPr="009300C3">
        <w:rPr>
          <w:rStyle w:val="FootnoteReference"/>
          <w:rFonts w:asciiTheme="minorHAnsi" w:hAnsiTheme="minorHAnsi" w:cstheme="minorHAnsi"/>
          <w:i/>
          <w:iCs/>
          <w:lang w:val="en-AU"/>
        </w:rPr>
        <w:footnoteReference w:id="7"/>
      </w:r>
    </w:p>
    <w:p w14:paraId="7E039588" w14:textId="17AD8F61" w:rsidR="00330542" w:rsidRPr="009300C3" w:rsidRDefault="00330542" w:rsidP="00330542">
      <w:pPr>
        <w:spacing w:before="120"/>
        <w:rPr>
          <w:rFonts w:asciiTheme="minorHAnsi" w:hAnsiTheme="minorHAnsi" w:cstheme="minorHAnsi"/>
          <w:lang w:val="en-AU"/>
        </w:rPr>
      </w:pPr>
      <w:r w:rsidRPr="009300C3">
        <w:rPr>
          <w:rFonts w:asciiTheme="minorHAnsi" w:hAnsiTheme="minorHAnsi" w:cstheme="minorHAnsi"/>
          <w:lang w:val="en-AU"/>
        </w:rPr>
        <w:t xml:space="preserve">We recommend the Department refer to the Older Persons Advocacy Network’s (OPAN’s) </w:t>
      </w:r>
      <w:hyperlink r:id="rId17" w:history="1">
        <w:r w:rsidRPr="00C3436F">
          <w:rPr>
            <w:rStyle w:val="Hyperlink"/>
            <w:rFonts w:asciiTheme="minorHAnsi" w:hAnsiTheme="minorHAnsi" w:cstheme="minorHAnsi"/>
            <w:i/>
            <w:iCs/>
            <w:lang w:val="en-AU"/>
          </w:rPr>
          <w:t>2022 Position Statement on Supported Decision-making</w:t>
        </w:r>
      </w:hyperlink>
      <w:r w:rsidRPr="009300C3">
        <w:rPr>
          <w:rFonts w:asciiTheme="minorHAnsi" w:hAnsiTheme="minorHAnsi" w:cstheme="minorHAnsi"/>
          <w:lang w:val="en-AU"/>
        </w:rPr>
        <w:t xml:space="preserve"> when considering how the above is to be implemented.</w:t>
      </w:r>
      <w:r w:rsidR="0044525F" w:rsidRPr="009300C3">
        <w:rPr>
          <w:rFonts w:asciiTheme="minorHAnsi" w:hAnsiTheme="minorHAnsi" w:cstheme="minorHAnsi"/>
          <w:lang w:val="en-AU"/>
        </w:rPr>
        <w:br/>
      </w:r>
    </w:p>
    <w:p w14:paraId="2B788CA0" w14:textId="7000EBD7" w:rsidR="00330542" w:rsidRPr="009300C3" w:rsidRDefault="00330542" w:rsidP="00330542">
      <w:pPr>
        <w:spacing w:before="120"/>
        <w:rPr>
          <w:rFonts w:asciiTheme="minorHAnsi" w:hAnsiTheme="minorHAnsi" w:cstheme="minorHAnsi"/>
          <w:lang w:val="en-AU"/>
        </w:rPr>
      </w:pPr>
      <w:r w:rsidRPr="009300C3">
        <w:rPr>
          <w:rFonts w:asciiTheme="minorHAnsi" w:hAnsiTheme="minorHAnsi" w:cstheme="minorHAnsi"/>
          <w:b/>
          <w:bCs/>
          <w:lang w:val="en-AU"/>
        </w:rPr>
        <w:t>Recommendation 7:</w:t>
      </w:r>
      <w:r w:rsidR="0044525F" w:rsidRPr="009300C3">
        <w:rPr>
          <w:rFonts w:asciiTheme="minorHAnsi" w:hAnsiTheme="minorHAnsi" w:cstheme="minorHAnsi"/>
          <w:b/>
          <w:bCs/>
          <w:lang w:val="en-AU"/>
        </w:rPr>
        <w:t xml:space="preserve"> </w:t>
      </w:r>
      <w:r w:rsidRPr="009300C3">
        <w:rPr>
          <w:rFonts w:asciiTheme="minorHAnsi" w:hAnsiTheme="minorHAnsi" w:cstheme="minorHAnsi"/>
          <w:lang w:val="en-AU"/>
        </w:rPr>
        <w:t>The Department must consider how the National Dementia Action Plan can be used to uphold and strengthen the right to supported decision-making in the context of dementia</w:t>
      </w:r>
      <w:r w:rsidR="0044525F" w:rsidRPr="009300C3">
        <w:rPr>
          <w:rFonts w:asciiTheme="minorHAnsi" w:hAnsiTheme="minorHAnsi" w:cstheme="minorHAnsi"/>
          <w:lang w:val="en-AU"/>
        </w:rPr>
        <w:t xml:space="preserve"> </w:t>
      </w:r>
      <w:r w:rsidRPr="009300C3">
        <w:rPr>
          <w:rFonts w:asciiTheme="minorHAnsi" w:hAnsiTheme="minorHAnsi" w:cstheme="minorHAnsi"/>
          <w:lang w:val="en-AU"/>
        </w:rPr>
        <w:t>care. In particular, it must require the Department to work collaboratively with civil society and all arms of Government to establish a national policy and legislative framework for supported decision-making</w:t>
      </w:r>
      <w:r w:rsidR="00085A4F">
        <w:rPr>
          <w:rFonts w:asciiTheme="minorHAnsi" w:hAnsiTheme="minorHAnsi" w:cstheme="minorHAnsi"/>
          <w:lang w:val="en-AU"/>
        </w:rPr>
        <w:t xml:space="preserve"> across all </w:t>
      </w:r>
      <w:proofErr w:type="gramStart"/>
      <w:r w:rsidR="00085A4F">
        <w:rPr>
          <w:rFonts w:asciiTheme="minorHAnsi" w:hAnsiTheme="minorHAnsi" w:cstheme="minorHAnsi"/>
          <w:lang w:val="en-AU"/>
        </w:rPr>
        <w:t>settings;</w:t>
      </w:r>
      <w:proofErr w:type="gramEnd"/>
      <w:r w:rsidR="00085A4F">
        <w:rPr>
          <w:rFonts w:asciiTheme="minorHAnsi" w:hAnsiTheme="minorHAnsi" w:cstheme="minorHAnsi"/>
          <w:lang w:val="en-AU"/>
        </w:rPr>
        <w:t xml:space="preserve"> including health, disability and aged care</w:t>
      </w:r>
      <w:r w:rsidRPr="009300C3">
        <w:rPr>
          <w:rFonts w:asciiTheme="minorHAnsi" w:hAnsiTheme="minorHAnsi" w:cstheme="minorHAnsi"/>
          <w:lang w:val="en-AU"/>
        </w:rPr>
        <w:t>.</w:t>
      </w:r>
    </w:p>
    <w:p w14:paraId="2379FEFB" w14:textId="1A379696" w:rsidR="002E445F" w:rsidRPr="009300C3" w:rsidRDefault="002E445F" w:rsidP="00330542">
      <w:pPr>
        <w:spacing w:before="120"/>
        <w:rPr>
          <w:rFonts w:asciiTheme="minorHAnsi" w:hAnsiTheme="minorHAnsi" w:cstheme="minorHAnsi"/>
          <w:lang w:val="en-AU"/>
        </w:rPr>
      </w:pPr>
    </w:p>
    <w:p w14:paraId="6198C332" w14:textId="3C8532AD" w:rsidR="002E445F" w:rsidRPr="009300C3" w:rsidRDefault="002E445F" w:rsidP="00330542">
      <w:pPr>
        <w:spacing w:before="120"/>
        <w:rPr>
          <w:rFonts w:asciiTheme="minorHAnsi" w:hAnsiTheme="minorHAnsi" w:cstheme="minorHAnsi"/>
          <w:lang w:val="en-AU"/>
        </w:rPr>
      </w:pPr>
    </w:p>
    <w:p w14:paraId="5CF5E4B2" w14:textId="6053764D" w:rsidR="002E445F" w:rsidRPr="009300C3" w:rsidRDefault="002E445F" w:rsidP="00330542">
      <w:pPr>
        <w:spacing w:before="120"/>
        <w:rPr>
          <w:rFonts w:asciiTheme="minorHAnsi" w:hAnsiTheme="minorHAnsi" w:cstheme="minorHAnsi"/>
          <w:lang w:val="en-AU"/>
        </w:rPr>
      </w:pPr>
    </w:p>
    <w:p w14:paraId="7CEE488D" w14:textId="5C624E98" w:rsidR="002E445F" w:rsidRPr="009300C3" w:rsidRDefault="002E445F" w:rsidP="00330542">
      <w:pPr>
        <w:spacing w:before="120"/>
        <w:rPr>
          <w:rFonts w:asciiTheme="minorHAnsi" w:hAnsiTheme="minorHAnsi" w:cstheme="minorHAnsi"/>
          <w:lang w:val="en-AU"/>
        </w:rPr>
      </w:pPr>
    </w:p>
    <w:p w14:paraId="426E0359" w14:textId="118336EA" w:rsidR="002E445F" w:rsidRPr="009300C3" w:rsidRDefault="002E445F" w:rsidP="00330542">
      <w:pPr>
        <w:spacing w:before="120"/>
        <w:rPr>
          <w:rFonts w:asciiTheme="minorHAnsi" w:hAnsiTheme="minorHAnsi" w:cstheme="minorHAnsi"/>
          <w:lang w:val="en-AU"/>
        </w:rPr>
      </w:pPr>
    </w:p>
    <w:p w14:paraId="71DE70B8" w14:textId="7D972825" w:rsidR="002E445F" w:rsidRPr="009300C3" w:rsidRDefault="002E445F" w:rsidP="00330542">
      <w:pPr>
        <w:spacing w:before="120"/>
        <w:rPr>
          <w:rFonts w:asciiTheme="minorHAnsi" w:hAnsiTheme="minorHAnsi" w:cstheme="minorHAnsi"/>
          <w:lang w:val="en-AU"/>
        </w:rPr>
      </w:pPr>
    </w:p>
    <w:p w14:paraId="2AEC0376" w14:textId="3B4D8EA0" w:rsidR="002E445F" w:rsidRPr="009300C3" w:rsidRDefault="002E445F" w:rsidP="00330542">
      <w:pPr>
        <w:spacing w:before="120"/>
        <w:rPr>
          <w:rFonts w:asciiTheme="minorHAnsi" w:hAnsiTheme="minorHAnsi" w:cstheme="minorHAnsi"/>
          <w:lang w:val="en-AU"/>
        </w:rPr>
      </w:pPr>
    </w:p>
    <w:p w14:paraId="296551EA" w14:textId="2F0443EB" w:rsidR="002E445F" w:rsidRPr="009300C3" w:rsidRDefault="002E445F" w:rsidP="00330542">
      <w:pPr>
        <w:spacing w:before="120"/>
        <w:rPr>
          <w:rFonts w:asciiTheme="minorHAnsi" w:hAnsiTheme="minorHAnsi" w:cstheme="minorHAnsi"/>
          <w:lang w:val="en-AU"/>
        </w:rPr>
      </w:pPr>
    </w:p>
    <w:p w14:paraId="51AE53E7" w14:textId="27D5B457" w:rsidR="002E445F" w:rsidRPr="009300C3" w:rsidRDefault="002E445F" w:rsidP="00330542">
      <w:pPr>
        <w:spacing w:before="120"/>
        <w:rPr>
          <w:rFonts w:asciiTheme="minorHAnsi" w:hAnsiTheme="minorHAnsi" w:cstheme="minorHAnsi"/>
          <w:lang w:val="en-AU"/>
        </w:rPr>
      </w:pPr>
    </w:p>
    <w:p w14:paraId="4C7424E7" w14:textId="1EB88DB5" w:rsidR="002E445F" w:rsidRPr="009300C3" w:rsidRDefault="002E445F" w:rsidP="00330542">
      <w:pPr>
        <w:spacing w:before="120"/>
        <w:rPr>
          <w:rFonts w:asciiTheme="minorHAnsi" w:hAnsiTheme="minorHAnsi" w:cstheme="minorHAnsi"/>
          <w:lang w:val="en-AU"/>
        </w:rPr>
      </w:pPr>
    </w:p>
    <w:p w14:paraId="29211FCA" w14:textId="77777777" w:rsidR="002E445F" w:rsidRPr="009300C3" w:rsidRDefault="002E445F" w:rsidP="00330542">
      <w:pPr>
        <w:spacing w:before="120"/>
        <w:rPr>
          <w:rFonts w:asciiTheme="minorHAnsi" w:hAnsiTheme="minorHAnsi" w:cstheme="minorHAnsi"/>
          <w:b/>
          <w:bCs/>
          <w:lang w:val="en-AU"/>
        </w:rPr>
      </w:pPr>
    </w:p>
    <w:p w14:paraId="4AB79B35" w14:textId="77777777" w:rsidR="00330542" w:rsidRPr="009300C3" w:rsidRDefault="00330542" w:rsidP="00330542">
      <w:pPr>
        <w:rPr>
          <w:rFonts w:cs="Arial"/>
          <w:lang w:val="en-AU"/>
        </w:rPr>
      </w:pPr>
    </w:p>
    <w:p w14:paraId="609E8A3E" w14:textId="77777777" w:rsidR="00A3236D" w:rsidRPr="009300C3" w:rsidRDefault="00A3236D" w:rsidP="00A3236D">
      <w:pPr>
        <w:rPr>
          <w:lang w:val="en-AU"/>
        </w:rPr>
      </w:pPr>
    </w:p>
    <w:p w14:paraId="1A98F3A2" w14:textId="5923AA01" w:rsidR="002E445F" w:rsidRPr="009300C3" w:rsidRDefault="002E445F" w:rsidP="00665690">
      <w:pPr>
        <w:rPr>
          <w:rFonts w:asciiTheme="minorHAnsi" w:hAnsiTheme="minorHAnsi" w:cstheme="minorHAnsi"/>
          <w:lang w:val="en-AU"/>
        </w:rPr>
      </w:pPr>
    </w:p>
    <w:p w14:paraId="483DCB91" w14:textId="66A3D98C" w:rsidR="002E445F" w:rsidRPr="009300C3" w:rsidRDefault="002E445F" w:rsidP="002E445F">
      <w:pPr>
        <w:pStyle w:val="HeadingNew"/>
        <w:rPr>
          <w:lang w:val="en-AU"/>
        </w:rPr>
      </w:pPr>
      <w:r w:rsidRPr="009300C3">
        <w:rPr>
          <w:lang w:val="en-AU"/>
        </w:rPr>
        <w:lastRenderedPageBreak/>
        <w:t>Safeguarding people with dementia from violence, abuse, and neglect</w:t>
      </w:r>
    </w:p>
    <w:p w14:paraId="577106E4" w14:textId="6CDC9B85" w:rsidR="008F4B92" w:rsidRPr="009300C3" w:rsidRDefault="008F4B92" w:rsidP="008F4B92">
      <w:pPr>
        <w:spacing w:before="120"/>
        <w:rPr>
          <w:rFonts w:asciiTheme="minorHAnsi" w:hAnsiTheme="minorHAnsi" w:cstheme="minorHAnsi"/>
          <w:lang w:val="en-AU"/>
        </w:rPr>
      </w:pPr>
      <w:r w:rsidRPr="009300C3">
        <w:rPr>
          <w:rFonts w:asciiTheme="minorHAnsi" w:hAnsiTheme="minorHAnsi" w:cstheme="minorHAnsi"/>
          <w:lang w:val="en-AU"/>
        </w:rPr>
        <w:t>The 2020 report from the Royal Commission into Aged Care Quality and Safety shone a light on the high prevalence of violence, abuse, and neglect that is experienced by people with dementia across Australia. It is therefore concerning that the need to safeguard people with dementia from violence, abuse, and neglect is barely acknowledged in the Department’s consultation paper.</w:t>
      </w:r>
    </w:p>
    <w:p w14:paraId="0C3A768D" w14:textId="79504299" w:rsidR="008F4B92" w:rsidRPr="009300C3" w:rsidRDefault="008F4B92" w:rsidP="008F4B92">
      <w:pPr>
        <w:spacing w:before="120"/>
        <w:rPr>
          <w:rFonts w:asciiTheme="minorHAnsi" w:hAnsiTheme="minorHAnsi" w:cstheme="minorHAnsi"/>
          <w:lang w:val="en-AU"/>
        </w:rPr>
      </w:pPr>
      <w:r w:rsidRPr="009300C3">
        <w:rPr>
          <w:rFonts w:asciiTheme="minorHAnsi" w:hAnsiTheme="minorHAnsi" w:cstheme="minorHAnsi"/>
          <w:lang w:val="en-AU"/>
        </w:rPr>
        <w:t xml:space="preserve">In 2019, the Australian Government worked with state and territory Governments to develop the </w:t>
      </w:r>
      <w:r w:rsidRPr="009300C3">
        <w:rPr>
          <w:rFonts w:asciiTheme="minorHAnsi" w:hAnsiTheme="minorHAnsi" w:cstheme="minorHAnsi"/>
          <w:i/>
          <w:iCs/>
          <w:lang w:val="en-AU"/>
        </w:rPr>
        <w:t xml:space="preserve">National Plan to </w:t>
      </w:r>
      <w:r w:rsidR="00E34FEF" w:rsidRPr="009300C3">
        <w:rPr>
          <w:rFonts w:asciiTheme="minorHAnsi" w:hAnsiTheme="minorHAnsi" w:cstheme="minorHAnsi"/>
          <w:i/>
          <w:iCs/>
          <w:lang w:val="en-AU"/>
        </w:rPr>
        <w:t>R</w:t>
      </w:r>
      <w:r w:rsidRPr="009300C3">
        <w:rPr>
          <w:rFonts w:asciiTheme="minorHAnsi" w:hAnsiTheme="minorHAnsi" w:cstheme="minorHAnsi"/>
          <w:i/>
          <w:iCs/>
          <w:lang w:val="en-AU"/>
        </w:rPr>
        <w:t xml:space="preserve">espond to the </w:t>
      </w:r>
      <w:r w:rsidR="00E34FEF" w:rsidRPr="009300C3">
        <w:rPr>
          <w:rFonts w:asciiTheme="minorHAnsi" w:hAnsiTheme="minorHAnsi" w:cstheme="minorHAnsi"/>
          <w:i/>
          <w:iCs/>
          <w:lang w:val="en-AU"/>
        </w:rPr>
        <w:t>A</w:t>
      </w:r>
      <w:r w:rsidRPr="009300C3">
        <w:rPr>
          <w:rFonts w:asciiTheme="minorHAnsi" w:hAnsiTheme="minorHAnsi" w:cstheme="minorHAnsi"/>
          <w:i/>
          <w:iCs/>
          <w:lang w:val="en-AU"/>
        </w:rPr>
        <w:t xml:space="preserve">buse of </w:t>
      </w:r>
      <w:r w:rsidR="00E34FEF" w:rsidRPr="009300C3">
        <w:rPr>
          <w:rFonts w:asciiTheme="minorHAnsi" w:hAnsiTheme="minorHAnsi" w:cstheme="minorHAnsi"/>
          <w:i/>
          <w:iCs/>
          <w:lang w:val="en-AU"/>
        </w:rPr>
        <w:t>O</w:t>
      </w:r>
      <w:r w:rsidRPr="009300C3">
        <w:rPr>
          <w:rFonts w:asciiTheme="minorHAnsi" w:hAnsiTheme="minorHAnsi" w:cstheme="minorHAnsi"/>
          <w:i/>
          <w:iCs/>
          <w:lang w:val="en-AU"/>
        </w:rPr>
        <w:t>lder Australians (</w:t>
      </w:r>
      <w:r w:rsidR="00E34FEF" w:rsidRPr="009300C3">
        <w:rPr>
          <w:rFonts w:asciiTheme="minorHAnsi" w:hAnsiTheme="minorHAnsi" w:cstheme="minorHAnsi"/>
          <w:i/>
          <w:iCs/>
          <w:lang w:val="en-AU"/>
        </w:rPr>
        <w:t>E</w:t>
      </w:r>
      <w:r w:rsidRPr="009300C3">
        <w:rPr>
          <w:rFonts w:asciiTheme="minorHAnsi" w:hAnsiTheme="minorHAnsi" w:cstheme="minorHAnsi"/>
          <w:i/>
          <w:iCs/>
          <w:lang w:val="en-AU"/>
        </w:rPr>
        <w:t xml:space="preserve">lder </w:t>
      </w:r>
      <w:r w:rsidR="00E34FEF" w:rsidRPr="009300C3">
        <w:rPr>
          <w:rFonts w:asciiTheme="minorHAnsi" w:hAnsiTheme="minorHAnsi" w:cstheme="minorHAnsi"/>
          <w:i/>
          <w:iCs/>
          <w:lang w:val="en-AU"/>
        </w:rPr>
        <w:t>A</w:t>
      </w:r>
      <w:r w:rsidRPr="009300C3">
        <w:rPr>
          <w:rFonts w:asciiTheme="minorHAnsi" w:hAnsiTheme="minorHAnsi" w:cstheme="minorHAnsi"/>
          <w:i/>
          <w:iCs/>
          <w:lang w:val="en-AU"/>
        </w:rPr>
        <w:t>buse) 2019–2023</w:t>
      </w:r>
      <w:r w:rsidRPr="009300C3">
        <w:rPr>
          <w:rFonts w:asciiTheme="minorHAnsi" w:hAnsiTheme="minorHAnsi" w:cstheme="minorHAnsi"/>
          <w:lang w:val="en-AU"/>
        </w:rPr>
        <w:t xml:space="preserve">. Given this </w:t>
      </w:r>
      <w:r w:rsidR="00E34FEF" w:rsidRPr="009300C3">
        <w:rPr>
          <w:rFonts w:asciiTheme="minorHAnsi" w:hAnsiTheme="minorHAnsi" w:cstheme="minorHAnsi"/>
          <w:lang w:val="en-AU"/>
        </w:rPr>
        <w:t>P</w:t>
      </w:r>
      <w:r w:rsidRPr="009300C3">
        <w:rPr>
          <w:rFonts w:asciiTheme="minorHAnsi" w:hAnsiTheme="minorHAnsi" w:cstheme="minorHAnsi"/>
          <w:lang w:val="en-AU"/>
        </w:rPr>
        <w:t xml:space="preserve">lan will soon expire, the Department must consider how the National Dementia Action Plan might intersect with the next iteration of the Elder Abuse Plan to establish safeguards to protect people with </w:t>
      </w:r>
      <w:r w:rsidR="00E34FEF" w:rsidRPr="009300C3">
        <w:rPr>
          <w:rFonts w:asciiTheme="minorHAnsi" w:hAnsiTheme="minorHAnsi" w:cstheme="minorHAnsi"/>
          <w:lang w:val="en-AU"/>
        </w:rPr>
        <w:t>dementia from</w:t>
      </w:r>
      <w:r w:rsidRPr="009300C3">
        <w:rPr>
          <w:rFonts w:asciiTheme="minorHAnsi" w:hAnsiTheme="minorHAnsi" w:cstheme="minorHAnsi"/>
          <w:lang w:val="en-AU"/>
        </w:rPr>
        <w:t xml:space="preserve"> violence, abuse</w:t>
      </w:r>
      <w:r w:rsidR="00E34FEF" w:rsidRPr="009300C3">
        <w:rPr>
          <w:rFonts w:asciiTheme="minorHAnsi" w:hAnsiTheme="minorHAnsi" w:cstheme="minorHAnsi"/>
          <w:lang w:val="en-AU"/>
        </w:rPr>
        <w:t>,</w:t>
      </w:r>
      <w:r w:rsidRPr="009300C3">
        <w:rPr>
          <w:rFonts w:asciiTheme="minorHAnsi" w:hAnsiTheme="minorHAnsi" w:cstheme="minorHAnsi"/>
          <w:lang w:val="en-AU"/>
        </w:rPr>
        <w:t xml:space="preserve"> and neglect. Given there are currently around 228,800 Australians who experience early onset dementia (diagnosed prior to age 65),</w:t>
      </w:r>
      <w:r w:rsidR="00E34FEF" w:rsidRPr="009300C3">
        <w:rPr>
          <w:rStyle w:val="FootnoteReference"/>
          <w:rFonts w:asciiTheme="minorHAnsi" w:hAnsiTheme="minorHAnsi" w:cstheme="minorHAnsi"/>
          <w:lang w:val="en-AU"/>
        </w:rPr>
        <w:footnoteReference w:id="8"/>
      </w:r>
      <w:r w:rsidRPr="009300C3">
        <w:rPr>
          <w:rFonts w:asciiTheme="minorHAnsi" w:hAnsiTheme="minorHAnsi" w:cstheme="minorHAnsi"/>
          <w:lang w:val="en-AU"/>
        </w:rPr>
        <w:t xml:space="preserve">  however, it is critical that key deliverables relating to safeguarding sit underneath the National Dementia Strategy as this is an issue that is not unique to older people</w:t>
      </w:r>
      <w:r w:rsidR="003847F6">
        <w:rPr>
          <w:rFonts w:asciiTheme="minorHAnsi" w:hAnsiTheme="minorHAnsi" w:cstheme="minorHAnsi"/>
          <w:lang w:val="en-AU"/>
        </w:rPr>
        <w:t>. It is also important to remember that p</w:t>
      </w:r>
      <w:r w:rsidR="003847F6" w:rsidRPr="003847F6">
        <w:rPr>
          <w:rFonts w:asciiTheme="minorHAnsi" w:hAnsiTheme="minorHAnsi" w:cstheme="minorHAnsi"/>
          <w:lang w:val="en-AU"/>
        </w:rPr>
        <w:t xml:space="preserve">eople with disability are </w:t>
      </w:r>
      <w:r w:rsidR="003847F6">
        <w:rPr>
          <w:rFonts w:asciiTheme="minorHAnsi" w:hAnsiTheme="minorHAnsi" w:cstheme="minorHAnsi"/>
          <w:lang w:val="en-AU"/>
        </w:rPr>
        <w:t xml:space="preserve">also </w:t>
      </w:r>
      <w:r w:rsidR="003847F6" w:rsidRPr="003847F6">
        <w:rPr>
          <w:rFonts w:asciiTheme="minorHAnsi" w:hAnsiTheme="minorHAnsi" w:cstheme="minorHAnsi"/>
          <w:lang w:val="en-AU"/>
        </w:rPr>
        <w:t>statistically more likely to experience violence, abuse and neglect throughout their lives</w:t>
      </w:r>
      <w:r w:rsidR="003847F6">
        <w:rPr>
          <w:rFonts w:asciiTheme="minorHAnsi" w:hAnsiTheme="minorHAnsi" w:cstheme="minorHAnsi"/>
          <w:lang w:val="en-AU"/>
        </w:rPr>
        <w:t xml:space="preserve">, which can be </w:t>
      </w:r>
      <w:r w:rsidR="003847F6" w:rsidRPr="003847F6">
        <w:rPr>
          <w:rFonts w:asciiTheme="minorHAnsi" w:hAnsiTheme="minorHAnsi" w:cstheme="minorHAnsi"/>
          <w:lang w:val="en-AU"/>
        </w:rPr>
        <w:t xml:space="preserve">exacerbated by a diagnosis of dementia. </w:t>
      </w:r>
      <w:r w:rsidR="003847F6">
        <w:rPr>
          <w:rFonts w:asciiTheme="minorHAnsi" w:hAnsiTheme="minorHAnsi" w:cstheme="minorHAnsi"/>
          <w:lang w:val="en-AU"/>
        </w:rPr>
        <w:t>A</w:t>
      </w:r>
      <w:r w:rsidR="003847F6" w:rsidRPr="003847F6">
        <w:rPr>
          <w:rFonts w:asciiTheme="minorHAnsi" w:hAnsiTheme="minorHAnsi" w:cstheme="minorHAnsi"/>
          <w:lang w:val="en-AU"/>
        </w:rPr>
        <w:t xml:space="preserve">dditional measures are </w:t>
      </w:r>
      <w:r w:rsidR="003847F6">
        <w:rPr>
          <w:rFonts w:asciiTheme="minorHAnsi" w:hAnsiTheme="minorHAnsi" w:cstheme="minorHAnsi"/>
          <w:lang w:val="en-AU"/>
        </w:rPr>
        <w:t xml:space="preserve">therefore </w:t>
      </w:r>
      <w:r w:rsidR="003847F6" w:rsidRPr="003847F6">
        <w:rPr>
          <w:rFonts w:asciiTheme="minorHAnsi" w:hAnsiTheme="minorHAnsi" w:cstheme="minorHAnsi"/>
          <w:lang w:val="en-AU"/>
        </w:rPr>
        <w:t xml:space="preserve">required to safeguard this cohort </w:t>
      </w:r>
      <w:r w:rsidR="003847F6">
        <w:rPr>
          <w:rFonts w:asciiTheme="minorHAnsi" w:hAnsiTheme="minorHAnsi" w:cstheme="minorHAnsi"/>
          <w:lang w:val="en-AU"/>
        </w:rPr>
        <w:t xml:space="preserve">against </w:t>
      </w:r>
      <w:r w:rsidR="003847F6" w:rsidRPr="003847F6">
        <w:rPr>
          <w:rFonts w:asciiTheme="minorHAnsi" w:hAnsiTheme="minorHAnsi" w:cstheme="minorHAnsi"/>
          <w:lang w:val="en-AU"/>
        </w:rPr>
        <w:t>violence, abuse and neglect.</w:t>
      </w:r>
      <w:r w:rsidR="00E34FEF" w:rsidRPr="009300C3">
        <w:rPr>
          <w:rFonts w:asciiTheme="minorHAnsi" w:hAnsiTheme="minorHAnsi" w:cstheme="minorHAnsi"/>
          <w:lang w:val="en-AU"/>
        </w:rPr>
        <w:br/>
      </w:r>
    </w:p>
    <w:p w14:paraId="2C74C393" w14:textId="007297A6" w:rsidR="008F4B92" w:rsidRPr="009300C3" w:rsidRDefault="008F4B92" w:rsidP="008F4B92">
      <w:pPr>
        <w:spacing w:before="120"/>
        <w:rPr>
          <w:rFonts w:asciiTheme="minorHAnsi" w:hAnsiTheme="minorHAnsi" w:cstheme="minorHAnsi"/>
          <w:lang w:val="en-AU"/>
        </w:rPr>
      </w:pPr>
      <w:r w:rsidRPr="009300C3">
        <w:rPr>
          <w:rFonts w:asciiTheme="minorHAnsi" w:hAnsiTheme="minorHAnsi" w:cstheme="minorHAnsi"/>
          <w:b/>
          <w:bCs/>
          <w:lang w:val="en-AU"/>
        </w:rPr>
        <w:t>Recommendation 8:</w:t>
      </w:r>
      <w:r w:rsidR="00E34FEF" w:rsidRPr="009300C3">
        <w:rPr>
          <w:rFonts w:asciiTheme="minorHAnsi" w:hAnsiTheme="minorHAnsi" w:cstheme="minorHAnsi"/>
          <w:lang w:val="en-AU"/>
        </w:rPr>
        <w:t xml:space="preserve"> </w:t>
      </w:r>
      <w:r w:rsidRPr="009300C3">
        <w:rPr>
          <w:rFonts w:asciiTheme="minorHAnsi" w:hAnsiTheme="minorHAnsi" w:cstheme="minorHAnsi"/>
          <w:lang w:val="en-AU"/>
        </w:rPr>
        <w:t xml:space="preserve">The vision and purpose of the National Dementia Action Plan must reflect the need for people with dementia to be safeguarded from violence, </w:t>
      </w:r>
      <w:r w:rsidR="00E34FEF" w:rsidRPr="009300C3">
        <w:rPr>
          <w:rFonts w:asciiTheme="minorHAnsi" w:hAnsiTheme="minorHAnsi" w:cstheme="minorHAnsi"/>
          <w:lang w:val="en-AU"/>
        </w:rPr>
        <w:t>abuse,</w:t>
      </w:r>
      <w:r w:rsidRPr="009300C3">
        <w:rPr>
          <w:rFonts w:asciiTheme="minorHAnsi" w:hAnsiTheme="minorHAnsi" w:cstheme="minorHAnsi"/>
          <w:lang w:val="en-AU"/>
        </w:rPr>
        <w:t xml:space="preserve"> and neglect. </w:t>
      </w:r>
    </w:p>
    <w:p w14:paraId="3283A44A" w14:textId="6FBB6AAB" w:rsidR="008F4B92" w:rsidRPr="009300C3" w:rsidRDefault="008F4B92" w:rsidP="008F4B92">
      <w:pPr>
        <w:spacing w:before="120"/>
        <w:rPr>
          <w:rFonts w:asciiTheme="minorHAnsi" w:hAnsiTheme="minorHAnsi" w:cstheme="minorHAnsi"/>
          <w:lang w:val="en-AU"/>
        </w:rPr>
      </w:pPr>
      <w:r w:rsidRPr="009300C3">
        <w:rPr>
          <w:rFonts w:asciiTheme="minorHAnsi" w:hAnsiTheme="minorHAnsi" w:cstheme="minorHAnsi"/>
          <w:b/>
          <w:bCs/>
          <w:lang w:val="en-AU"/>
        </w:rPr>
        <w:t>Recommendation 9:</w:t>
      </w:r>
      <w:r w:rsidR="00E34FEF" w:rsidRPr="009300C3">
        <w:rPr>
          <w:rFonts w:asciiTheme="minorHAnsi" w:hAnsiTheme="minorHAnsi" w:cstheme="minorHAnsi"/>
          <w:lang w:val="en-AU"/>
        </w:rPr>
        <w:t xml:space="preserve"> </w:t>
      </w:r>
      <w:r w:rsidRPr="009300C3">
        <w:rPr>
          <w:rFonts w:asciiTheme="minorHAnsi" w:hAnsiTheme="minorHAnsi" w:cstheme="minorHAnsi"/>
          <w:lang w:val="en-AU"/>
        </w:rPr>
        <w:t xml:space="preserve">The Department must consider how the National Dementia Action Plan will intersect with the next National </w:t>
      </w:r>
      <w:r w:rsidR="00E34FEF" w:rsidRPr="009300C3">
        <w:rPr>
          <w:rFonts w:asciiTheme="minorHAnsi" w:hAnsiTheme="minorHAnsi" w:cstheme="minorHAnsi"/>
          <w:lang w:val="en-AU"/>
        </w:rPr>
        <w:t>P</w:t>
      </w:r>
      <w:r w:rsidRPr="009300C3">
        <w:rPr>
          <w:rFonts w:asciiTheme="minorHAnsi" w:hAnsiTheme="minorHAnsi" w:cstheme="minorHAnsi"/>
          <w:lang w:val="en-AU"/>
        </w:rPr>
        <w:t>lan to respond to the abuse of older Australians, while setting out actions aimed at safeguarding people with early onset dementia from violence, abuse</w:t>
      </w:r>
      <w:r w:rsidR="00E34FEF" w:rsidRPr="009300C3">
        <w:rPr>
          <w:rFonts w:asciiTheme="minorHAnsi" w:hAnsiTheme="minorHAnsi" w:cstheme="minorHAnsi"/>
          <w:lang w:val="en-AU"/>
        </w:rPr>
        <w:t>,</w:t>
      </w:r>
      <w:r w:rsidRPr="009300C3">
        <w:rPr>
          <w:rFonts w:asciiTheme="minorHAnsi" w:hAnsiTheme="minorHAnsi" w:cstheme="minorHAnsi"/>
          <w:lang w:val="en-AU"/>
        </w:rPr>
        <w:t xml:space="preserve"> and neglect</w:t>
      </w:r>
      <w:r w:rsidR="003847F6">
        <w:rPr>
          <w:rFonts w:asciiTheme="minorHAnsi" w:hAnsiTheme="minorHAnsi" w:cstheme="minorHAnsi"/>
          <w:lang w:val="en-AU"/>
        </w:rPr>
        <w:t>, and recognising that people with other forms of permanent and severe disability may require additional safeguards</w:t>
      </w:r>
      <w:r w:rsidRPr="009300C3">
        <w:rPr>
          <w:rFonts w:asciiTheme="minorHAnsi" w:hAnsiTheme="minorHAnsi" w:cstheme="minorHAnsi"/>
          <w:lang w:val="en-AU"/>
        </w:rPr>
        <w:t xml:space="preserve">. </w:t>
      </w:r>
    </w:p>
    <w:p w14:paraId="32C5A317" w14:textId="0D9BBF69" w:rsidR="008F4B92" w:rsidRPr="009300C3" w:rsidRDefault="008F4B92" w:rsidP="008F4B92">
      <w:pPr>
        <w:spacing w:before="120"/>
        <w:rPr>
          <w:rFonts w:asciiTheme="minorHAnsi" w:hAnsiTheme="minorHAnsi" w:cstheme="minorHAnsi"/>
          <w:lang w:val="en-AU"/>
        </w:rPr>
      </w:pPr>
      <w:r w:rsidRPr="009300C3">
        <w:rPr>
          <w:rFonts w:asciiTheme="minorHAnsi" w:hAnsiTheme="minorHAnsi" w:cstheme="minorHAnsi"/>
          <w:b/>
          <w:bCs/>
          <w:lang w:val="en-AU"/>
        </w:rPr>
        <w:t>Recommendation 10</w:t>
      </w:r>
      <w:r w:rsidRPr="009300C3">
        <w:rPr>
          <w:rFonts w:asciiTheme="minorHAnsi" w:hAnsiTheme="minorHAnsi" w:cstheme="minorHAnsi"/>
          <w:lang w:val="en-AU"/>
        </w:rPr>
        <w:t>:</w:t>
      </w:r>
      <w:r w:rsidR="00E34FEF" w:rsidRPr="009300C3">
        <w:rPr>
          <w:rFonts w:asciiTheme="minorHAnsi" w:hAnsiTheme="minorHAnsi" w:cstheme="minorHAnsi"/>
          <w:lang w:val="en-AU"/>
        </w:rPr>
        <w:t xml:space="preserve"> </w:t>
      </w:r>
      <w:r w:rsidRPr="009300C3">
        <w:rPr>
          <w:rFonts w:asciiTheme="minorHAnsi" w:hAnsiTheme="minorHAnsi" w:cstheme="minorHAnsi"/>
          <w:lang w:val="en-AU"/>
        </w:rPr>
        <w:t>The Department must consider how it could work with other arms of Government to implement measures to ensure greater oversight of people with dementia who face increased vulnerability to violence, abuse</w:t>
      </w:r>
      <w:r w:rsidR="00E34FEF" w:rsidRPr="009300C3">
        <w:rPr>
          <w:rFonts w:asciiTheme="minorHAnsi" w:hAnsiTheme="minorHAnsi" w:cstheme="minorHAnsi"/>
          <w:lang w:val="en-AU"/>
        </w:rPr>
        <w:t>,</w:t>
      </w:r>
      <w:r w:rsidRPr="009300C3">
        <w:rPr>
          <w:rFonts w:asciiTheme="minorHAnsi" w:hAnsiTheme="minorHAnsi" w:cstheme="minorHAnsi"/>
          <w:lang w:val="en-AU"/>
        </w:rPr>
        <w:t xml:space="preserve"> and neglect</w:t>
      </w:r>
      <w:r w:rsidR="00A52E41">
        <w:rPr>
          <w:rFonts w:asciiTheme="minorHAnsi" w:hAnsiTheme="minorHAnsi" w:cstheme="minorHAnsi"/>
          <w:lang w:val="en-AU"/>
        </w:rPr>
        <w:t>, such as people with disability. Such measures might include</w:t>
      </w:r>
      <w:r w:rsidRPr="009300C3">
        <w:rPr>
          <w:rFonts w:asciiTheme="minorHAnsi" w:hAnsiTheme="minorHAnsi" w:cstheme="minorHAnsi"/>
          <w:lang w:val="en-AU"/>
        </w:rPr>
        <w:t>:</w:t>
      </w:r>
    </w:p>
    <w:p w14:paraId="630E85E4" w14:textId="2FBA90EE" w:rsidR="008F4B92" w:rsidRPr="009300C3" w:rsidRDefault="008F4B92" w:rsidP="00E34FEF">
      <w:pPr>
        <w:pStyle w:val="ListParagraph"/>
        <w:numPr>
          <w:ilvl w:val="0"/>
          <w:numId w:val="29"/>
        </w:numPr>
        <w:rPr>
          <w:rFonts w:asciiTheme="minorHAnsi" w:hAnsiTheme="minorHAnsi" w:cstheme="minorHAnsi"/>
          <w:lang w:val="en-AU"/>
        </w:rPr>
      </w:pPr>
      <w:r w:rsidRPr="009300C3">
        <w:rPr>
          <w:rFonts w:asciiTheme="minorHAnsi" w:hAnsiTheme="minorHAnsi" w:cstheme="minorHAnsi"/>
          <w:lang w:val="en-AU"/>
        </w:rPr>
        <w:t>A mandatory community visitors scheme.</w:t>
      </w:r>
    </w:p>
    <w:p w14:paraId="112C3ECA" w14:textId="4C01FD90" w:rsidR="002E445F" w:rsidRPr="009300C3" w:rsidRDefault="008F4B92" w:rsidP="00E34FEF">
      <w:pPr>
        <w:pStyle w:val="ListParagraph"/>
        <w:numPr>
          <w:ilvl w:val="0"/>
          <w:numId w:val="29"/>
        </w:numPr>
        <w:rPr>
          <w:rFonts w:asciiTheme="minorHAnsi" w:hAnsiTheme="minorHAnsi" w:cstheme="minorHAnsi"/>
          <w:lang w:val="en-AU"/>
        </w:rPr>
      </w:pPr>
      <w:r w:rsidRPr="009300C3">
        <w:rPr>
          <w:rFonts w:asciiTheme="minorHAnsi" w:hAnsiTheme="minorHAnsi" w:cstheme="minorHAnsi"/>
          <w:lang w:val="en-AU"/>
        </w:rPr>
        <w:lastRenderedPageBreak/>
        <w:t>Mandatory access for advocates.</w:t>
      </w:r>
    </w:p>
    <w:p w14:paraId="40DA9E14" w14:textId="77777777" w:rsidR="002E445F" w:rsidRPr="009300C3" w:rsidRDefault="002E445F" w:rsidP="008F4B92">
      <w:pPr>
        <w:spacing w:before="120"/>
        <w:rPr>
          <w:rFonts w:asciiTheme="minorHAnsi" w:hAnsiTheme="minorHAnsi" w:cstheme="minorHAnsi"/>
          <w:lang w:val="en-AU"/>
        </w:rPr>
      </w:pPr>
    </w:p>
    <w:p w14:paraId="42718A4C" w14:textId="77777777" w:rsidR="00346092" w:rsidRPr="009300C3" w:rsidRDefault="00346092" w:rsidP="00665690">
      <w:pPr>
        <w:rPr>
          <w:rFonts w:asciiTheme="minorHAnsi" w:hAnsiTheme="minorHAnsi" w:cstheme="minorHAnsi"/>
          <w:b/>
          <w:bCs/>
          <w:lang w:val="en-AU"/>
        </w:rPr>
      </w:pPr>
    </w:p>
    <w:p w14:paraId="72C3CED3" w14:textId="34B57AE9" w:rsidR="00665690" w:rsidRPr="009300C3" w:rsidRDefault="007A4C0E" w:rsidP="007A4C0E">
      <w:pPr>
        <w:pStyle w:val="HeadingNew"/>
        <w:rPr>
          <w:lang w:val="en-AU"/>
        </w:rPr>
      </w:pPr>
      <w:r w:rsidRPr="009300C3">
        <w:rPr>
          <w:lang w:val="en-AU"/>
        </w:rPr>
        <w:lastRenderedPageBreak/>
        <w:t>Facilitating access to assistive technology to promote improved quality of life for people with dementia</w:t>
      </w:r>
    </w:p>
    <w:p w14:paraId="6B3C1619" w14:textId="77777777"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The consultation paper acknowledges the role of assistive technology in enhancing the quality of life of people with dementia. The only proposed action in the paper relating to assistive technology, however, is as follows:</w:t>
      </w:r>
    </w:p>
    <w:p w14:paraId="7B28ABBF" w14:textId="59E2C7FD" w:rsidR="009300C3" w:rsidRPr="009300C3" w:rsidRDefault="009300C3" w:rsidP="009300C3">
      <w:pPr>
        <w:spacing w:before="120"/>
        <w:ind w:left="720"/>
        <w:rPr>
          <w:rFonts w:asciiTheme="minorHAnsi" w:hAnsiTheme="minorHAnsi" w:cstheme="minorHAnsi"/>
          <w:i/>
          <w:iCs/>
          <w:lang w:val="en-AU"/>
        </w:rPr>
      </w:pPr>
      <w:r w:rsidRPr="009300C3">
        <w:rPr>
          <w:rFonts w:asciiTheme="minorHAnsi" w:hAnsiTheme="minorHAnsi" w:cstheme="minorHAnsi"/>
          <w:i/>
          <w:iCs/>
          <w:lang w:val="en-AU"/>
        </w:rPr>
        <w:t>“Understanding and promoting the role of technology to advance the quality of life of people living with dementia.”</w:t>
      </w:r>
    </w:p>
    <w:p w14:paraId="6B8CF056" w14:textId="2F9B46AB"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 xml:space="preserve">This action will be meaningless without adequate investment in the support systems that are needed to facilitate timely access to affordable assistive technology for people with dementia. </w:t>
      </w:r>
    </w:p>
    <w:p w14:paraId="699A527B" w14:textId="606BC178"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While people with early onset dementia who are eligible for the NDIS only need to interact with one scheme to access funding for assistive technology, the situation for those outside the scheme is far more complex. A recent study located 87 Government funders, administering 108 assistive technology and home modifications schemes outside the NDIS.</w:t>
      </w:r>
    </w:p>
    <w:p w14:paraId="18ED140C" w14:textId="7C45B706"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This means that, at present, people with dementia who are not eligible for the NDIS are required to navigate a complex, confusing maze of funding in order to access the assistive technology they need. There is also a distinct lack of equity and consistency across the assistive technology schemes operating outside the NDIS. For example:</w:t>
      </w:r>
    </w:p>
    <w:p w14:paraId="5A26CD20" w14:textId="5D71515E" w:rsidR="009300C3" w:rsidRPr="009300C3" w:rsidRDefault="009300C3" w:rsidP="009300C3">
      <w:pPr>
        <w:pStyle w:val="ListParagraph"/>
        <w:numPr>
          <w:ilvl w:val="0"/>
          <w:numId w:val="31"/>
        </w:numPr>
        <w:rPr>
          <w:rFonts w:asciiTheme="minorHAnsi" w:hAnsiTheme="minorHAnsi" w:cstheme="minorHAnsi"/>
          <w:lang w:val="en-AU"/>
        </w:rPr>
      </w:pPr>
      <w:r w:rsidRPr="009300C3">
        <w:rPr>
          <w:rFonts w:asciiTheme="minorHAnsi" w:hAnsiTheme="minorHAnsi" w:cstheme="minorHAnsi"/>
          <w:lang w:val="en-AU"/>
        </w:rPr>
        <w:t xml:space="preserve">People with the same or similar needs can receive different levels of support depending on age, location, and when or where their disability was acquired. </w:t>
      </w:r>
    </w:p>
    <w:p w14:paraId="1D982A61" w14:textId="11BE70F6" w:rsidR="009300C3" w:rsidRPr="009300C3" w:rsidRDefault="009300C3" w:rsidP="009300C3">
      <w:pPr>
        <w:pStyle w:val="ListParagraph"/>
        <w:numPr>
          <w:ilvl w:val="0"/>
          <w:numId w:val="31"/>
        </w:numPr>
        <w:rPr>
          <w:rFonts w:asciiTheme="minorHAnsi" w:hAnsiTheme="minorHAnsi" w:cstheme="minorHAnsi"/>
          <w:lang w:val="en-AU"/>
        </w:rPr>
      </w:pPr>
      <w:r w:rsidRPr="009300C3">
        <w:rPr>
          <w:rFonts w:asciiTheme="minorHAnsi" w:hAnsiTheme="minorHAnsi" w:cstheme="minorHAnsi"/>
          <w:lang w:val="en-AU"/>
        </w:rPr>
        <w:t>The categories of assistive technology listed on funder websites equate to less than 10% of the full range of solutions available under the international standard AS/ISO 9999 Assistive Products for Persons with Disability.</w:t>
      </w:r>
    </w:p>
    <w:p w14:paraId="719E9856" w14:textId="00073A94" w:rsidR="009300C3" w:rsidRPr="009300C3" w:rsidRDefault="009300C3" w:rsidP="009300C3">
      <w:pPr>
        <w:pStyle w:val="ListParagraph"/>
        <w:numPr>
          <w:ilvl w:val="0"/>
          <w:numId w:val="31"/>
        </w:numPr>
        <w:rPr>
          <w:rFonts w:asciiTheme="minorHAnsi" w:hAnsiTheme="minorHAnsi" w:cstheme="minorHAnsi"/>
          <w:lang w:val="en-AU"/>
        </w:rPr>
      </w:pPr>
      <w:r w:rsidRPr="009300C3">
        <w:rPr>
          <w:rFonts w:asciiTheme="minorHAnsi" w:hAnsiTheme="minorHAnsi" w:cstheme="minorHAnsi"/>
          <w:lang w:val="en-AU"/>
        </w:rPr>
        <w:t>Few schemes outside the NDIS fund the wraparound services required to support effective service delivery, such as skilled assessment and referral, equipment trials and demonstrations, customisation, delivery and setup, training, and maintenance/review.</w:t>
      </w:r>
    </w:p>
    <w:p w14:paraId="6148A6B6" w14:textId="77777777" w:rsidR="009300C3" w:rsidRDefault="009300C3" w:rsidP="009300C3">
      <w:pPr>
        <w:pStyle w:val="ListParagraph"/>
        <w:numPr>
          <w:ilvl w:val="0"/>
          <w:numId w:val="31"/>
        </w:numPr>
        <w:rPr>
          <w:rFonts w:asciiTheme="minorHAnsi" w:hAnsiTheme="minorHAnsi" w:cstheme="minorHAnsi"/>
          <w:lang w:val="en-AU"/>
        </w:rPr>
      </w:pPr>
      <w:r w:rsidRPr="009300C3">
        <w:rPr>
          <w:rFonts w:asciiTheme="minorHAnsi" w:hAnsiTheme="minorHAnsi" w:cstheme="minorHAnsi"/>
          <w:lang w:val="en-AU"/>
        </w:rPr>
        <w:t>While people with early onset dementia who are eligible for the NDIS can access fully funded assistive technology, this is rarely the case for those aged 65 and over who are required to access their support from other service systems. Many funding schemes outside the NDIS only provide subsidies for a small proportion of market costs. As a result, many people go without the assistive technology they need or continue using products that are unsafe or not fit for purpose. They may also go without other critical services so they can afford the equipment they need.</w:t>
      </w:r>
    </w:p>
    <w:p w14:paraId="4E0CD298" w14:textId="3BF160A6" w:rsidR="009300C3" w:rsidRPr="009300C3" w:rsidRDefault="009300C3" w:rsidP="009300C3">
      <w:pPr>
        <w:pStyle w:val="ListParagraph"/>
        <w:numPr>
          <w:ilvl w:val="0"/>
          <w:numId w:val="31"/>
        </w:numPr>
        <w:rPr>
          <w:rFonts w:asciiTheme="minorHAnsi" w:hAnsiTheme="minorHAnsi" w:cstheme="minorHAnsi"/>
          <w:lang w:val="en-AU"/>
        </w:rPr>
      </w:pPr>
      <w:r w:rsidRPr="009300C3">
        <w:rPr>
          <w:rFonts w:asciiTheme="minorHAnsi" w:hAnsiTheme="minorHAnsi" w:cstheme="minorHAnsi"/>
          <w:lang w:val="en-AU"/>
        </w:rPr>
        <w:lastRenderedPageBreak/>
        <w:t>Two thirds of older people with disability who are not eligible for the NDIS access support from the aged care system. The average spend on assistive technology and home modifications per person per year for NDIS participants is $2,500, compared with just $51 per person per year for aged care recipients.</w:t>
      </w:r>
      <w:r>
        <w:rPr>
          <w:rStyle w:val="FootnoteReference"/>
          <w:rFonts w:asciiTheme="minorHAnsi" w:hAnsiTheme="minorHAnsi" w:cstheme="minorHAnsi"/>
          <w:lang w:val="en-AU"/>
        </w:rPr>
        <w:footnoteReference w:id="9"/>
      </w:r>
      <w:r w:rsidRPr="009300C3">
        <w:rPr>
          <w:rFonts w:asciiTheme="minorHAnsi" w:hAnsiTheme="minorHAnsi" w:cstheme="minorHAnsi"/>
          <w:lang w:val="en-AU"/>
        </w:rPr>
        <w:t xml:space="preserve"> </w:t>
      </w:r>
      <w:r>
        <w:rPr>
          <w:rFonts w:asciiTheme="minorHAnsi" w:hAnsiTheme="minorHAnsi" w:cstheme="minorHAnsi"/>
          <w:lang w:val="en-AU"/>
        </w:rPr>
        <w:br/>
      </w:r>
    </w:p>
    <w:p w14:paraId="1596F20C" w14:textId="77777777" w:rsid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According to the World Health Organization:</w:t>
      </w:r>
    </w:p>
    <w:p w14:paraId="13A0870A" w14:textId="0C83D9DC" w:rsidR="009300C3" w:rsidRPr="009300C3" w:rsidRDefault="009300C3" w:rsidP="009300C3">
      <w:pPr>
        <w:spacing w:before="120"/>
        <w:ind w:left="720"/>
        <w:rPr>
          <w:rFonts w:asciiTheme="minorHAnsi" w:hAnsiTheme="minorHAnsi" w:cstheme="minorHAnsi"/>
          <w:lang w:val="en-AU"/>
        </w:rPr>
      </w:pPr>
      <w:r w:rsidRPr="009300C3">
        <w:rPr>
          <w:rFonts w:asciiTheme="minorHAnsi" w:hAnsiTheme="minorHAnsi" w:cstheme="minorHAnsi"/>
          <w:i/>
          <w:iCs/>
          <w:lang w:val="en-AU"/>
        </w:rPr>
        <w:t>“Access to assistive technology is a fundamental human right, a legal obligation for all countries within the Convention on the Rights of Persons with Disabilities and a prerequisite for the full and equitable achievement of the Sustainable Development Goals.”</w:t>
      </w:r>
      <w:r>
        <w:rPr>
          <w:rStyle w:val="FootnoteReference"/>
          <w:rFonts w:asciiTheme="minorHAnsi" w:hAnsiTheme="minorHAnsi" w:cstheme="minorHAnsi"/>
          <w:i/>
          <w:iCs/>
          <w:lang w:val="en-AU"/>
        </w:rPr>
        <w:footnoteReference w:id="10"/>
      </w:r>
    </w:p>
    <w:p w14:paraId="2F63F6A6" w14:textId="77777777"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Furthermore, a 2017 report published by the Special Rapporteur on the Rights of Persons with Disabilities acknowledged that:</w:t>
      </w:r>
    </w:p>
    <w:p w14:paraId="1B524E13" w14:textId="268E5CF2" w:rsidR="009300C3" w:rsidRPr="00E9586D" w:rsidRDefault="009300C3" w:rsidP="009300C3">
      <w:pPr>
        <w:spacing w:before="120"/>
        <w:ind w:left="720"/>
        <w:rPr>
          <w:rFonts w:asciiTheme="minorHAnsi" w:hAnsiTheme="minorHAnsi" w:cstheme="minorHAnsi"/>
          <w:lang w:val="en-AU"/>
        </w:rPr>
      </w:pPr>
      <w:r w:rsidRPr="009300C3">
        <w:rPr>
          <w:rFonts w:asciiTheme="minorHAnsi" w:hAnsiTheme="minorHAnsi" w:cstheme="minorHAnsi"/>
          <w:i/>
          <w:iCs/>
          <w:lang w:val="en-AU"/>
        </w:rPr>
        <w:t>“States must establish legal and policy frameworks that ensure that support services and arrangements, including assistive technologies, are available, accessible, adequate and affordable.”</w:t>
      </w:r>
      <w:r w:rsidR="00E9586D">
        <w:rPr>
          <w:rStyle w:val="FootnoteReference"/>
          <w:rFonts w:asciiTheme="minorHAnsi" w:hAnsiTheme="minorHAnsi" w:cstheme="minorHAnsi"/>
          <w:i/>
          <w:iCs/>
          <w:lang w:val="en-AU"/>
        </w:rPr>
        <w:footnoteReference w:id="11"/>
      </w:r>
    </w:p>
    <w:p w14:paraId="441689B0" w14:textId="26BDACF3"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As such, it is critical that the National Dementia Action Plan includes key deliverables aimed at providing equitable access to assistive technology to support the quality of life of people with dementia, in line with the following recommendations from the Royal Commission into Aged Care Quality and Safety:</w:t>
      </w:r>
    </w:p>
    <w:p w14:paraId="3986ECB7" w14:textId="74275261" w:rsidR="009300C3" w:rsidRPr="00E9586D" w:rsidRDefault="009300C3" w:rsidP="009300C3">
      <w:pPr>
        <w:spacing w:before="120"/>
        <w:rPr>
          <w:rFonts w:asciiTheme="minorHAnsi" w:hAnsiTheme="minorHAnsi" w:cstheme="minorHAnsi"/>
          <w:i/>
          <w:iCs/>
          <w:lang w:val="en-AU"/>
        </w:rPr>
      </w:pPr>
      <w:r w:rsidRPr="00E9586D">
        <w:rPr>
          <w:rFonts w:asciiTheme="minorHAnsi" w:hAnsiTheme="minorHAnsi" w:cstheme="minorHAnsi"/>
          <w:i/>
          <w:iCs/>
          <w:lang w:val="en-AU"/>
        </w:rPr>
        <w:t>Recommendation 72:</w:t>
      </w:r>
      <w:r w:rsidR="00E9586D" w:rsidRPr="00E9586D">
        <w:rPr>
          <w:rFonts w:asciiTheme="minorHAnsi" w:hAnsiTheme="minorHAnsi" w:cstheme="minorHAnsi"/>
          <w:i/>
          <w:iCs/>
          <w:lang w:val="en-AU"/>
        </w:rPr>
        <w:t xml:space="preserve"> </w:t>
      </w:r>
      <w:r w:rsidRPr="00E9586D">
        <w:rPr>
          <w:rFonts w:asciiTheme="minorHAnsi" w:hAnsiTheme="minorHAnsi" w:cstheme="minorHAnsi"/>
          <w:i/>
          <w:iCs/>
          <w:lang w:val="en-AU"/>
        </w:rPr>
        <w:t>By 1 July 2024, every person receiving aged care who is living with disability, regardless of when acquired, should receive through the aged care program daily living supports and outcomes (including assistive technologies, aids and equipment)</w:t>
      </w:r>
      <w:r w:rsidR="00E9586D">
        <w:rPr>
          <w:rFonts w:asciiTheme="minorHAnsi" w:hAnsiTheme="minorHAnsi" w:cstheme="minorHAnsi"/>
          <w:i/>
          <w:iCs/>
          <w:lang w:val="en-AU"/>
        </w:rPr>
        <w:t xml:space="preserve"> </w:t>
      </w:r>
      <w:r w:rsidRPr="00E9586D">
        <w:rPr>
          <w:rFonts w:asciiTheme="minorHAnsi" w:hAnsiTheme="minorHAnsi" w:cstheme="minorHAnsi"/>
          <w:i/>
          <w:iCs/>
          <w:lang w:val="en-AU"/>
        </w:rPr>
        <w:t>equivalent to those that would be available under the National Disability Insurance Scheme to a person under the age of 65 years with the same or substantially similar conditions.</w:t>
      </w:r>
    </w:p>
    <w:p w14:paraId="5E983177" w14:textId="07F55CE5" w:rsidR="009300C3" w:rsidRPr="00E9586D" w:rsidRDefault="009300C3" w:rsidP="009300C3">
      <w:pPr>
        <w:spacing w:before="120"/>
        <w:rPr>
          <w:rFonts w:asciiTheme="minorHAnsi" w:hAnsiTheme="minorHAnsi" w:cstheme="minorHAnsi"/>
          <w:i/>
          <w:iCs/>
          <w:lang w:val="en-AU"/>
        </w:rPr>
      </w:pPr>
      <w:r w:rsidRPr="00E9586D">
        <w:rPr>
          <w:rFonts w:asciiTheme="minorHAnsi" w:hAnsiTheme="minorHAnsi" w:cstheme="minorHAnsi"/>
          <w:i/>
          <w:iCs/>
          <w:lang w:val="en-AU"/>
        </w:rPr>
        <w:t>Recommendation 73: By 1 July 2024, the Disability Discrimination Commissioner and the Age Discrimination Commissioner should be required, as part of the new National Disability Strategy, to report annually to the Parliament on the number of people receiving aged care with disability who are aged 65 years or older and their ability to access daily living supports and outcomes (including assistive technologies, aids and equipment) equivalent to those available under the National Disability Insurance Scheme.</w:t>
      </w:r>
    </w:p>
    <w:p w14:paraId="15E2E50F" w14:textId="1B0C2FA9" w:rsidR="009300C3" w:rsidRPr="00E9586D" w:rsidRDefault="009300C3" w:rsidP="009300C3">
      <w:pPr>
        <w:spacing w:before="120"/>
        <w:rPr>
          <w:rFonts w:asciiTheme="minorHAnsi" w:hAnsiTheme="minorHAnsi" w:cstheme="minorHAnsi"/>
          <w:i/>
          <w:iCs/>
          <w:lang w:val="en-AU"/>
        </w:rPr>
      </w:pPr>
      <w:r w:rsidRPr="00E9586D">
        <w:rPr>
          <w:rFonts w:asciiTheme="minorHAnsi" w:hAnsiTheme="minorHAnsi" w:cstheme="minorHAnsi"/>
          <w:i/>
          <w:iCs/>
          <w:lang w:val="en-AU"/>
        </w:rPr>
        <w:lastRenderedPageBreak/>
        <w:t>Recommendation 125: Individuals who are assessed as needing social supports, assistive technologies and home modifications, or care at home should not be required to contribute to the costs of that support.</w:t>
      </w:r>
      <w:r w:rsidR="0043325F">
        <w:rPr>
          <w:rStyle w:val="FootnoteReference"/>
          <w:rFonts w:asciiTheme="minorHAnsi" w:hAnsiTheme="minorHAnsi" w:cstheme="minorHAnsi"/>
          <w:i/>
          <w:iCs/>
          <w:lang w:val="en-AU"/>
        </w:rPr>
        <w:footnoteReference w:id="12"/>
      </w:r>
      <w:r w:rsidR="00E9586D">
        <w:rPr>
          <w:rFonts w:asciiTheme="minorHAnsi" w:hAnsiTheme="minorHAnsi" w:cstheme="minorHAnsi"/>
          <w:i/>
          <w:iCs/>
          <w:lang w:val="en-AU"/>
        </w:rPr>
        <w:br/>
      </w:r>
    </w:p>
    <w:p w14:paraId="381F65F9" w14:textId="0CE9D61F"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While we acknowledge the work that is currently being undertaken by the Department to establish a new assistive technology program for in-home care, we are also concerned that people living in residential aged care are being left out of this dialogue altogether. As such, the new Action Plan must outline how assistive technology will be funded and implemented to enhance the quality of life of people with dementia living in residential settings.</w:t>
      </w:r>
    </w:p>
    <w:p w14:paraId="06661410" w14:textId="3D76CD29" w:rsidR="009300C3" w:rsidRPr="009300C3" w:rsidRDefault="009300C3" w:rsidP="009300C3">
      <w:pPr>
        <w:spacing w:before="120"/>
        <w:rPr>
          <w:rFonts w:asciiTheme="minorHAnsi" w:hAnsiTheme="minorHAnsi" w:cstheme="minorHAnsi"/>
          <w:lang w:val="en-AU"/>
        </w:rPr>
      </w:pPr>
      <w:r w:rsidRPr="009300C3">
        <w:rPr>
          <w:rFonts w:asciiTheme="minorHAnsi" w:hAnsiTheme="minorHAnsi" w:cstheme="minorHAnsi"/>
          <w:lang w:val="en-AU"/>
        </w:rPr>
        <w:t xml:space="preserve">We remind the Department that there is also an economic imperative to improving access to assistive technology. For every dollar spent on assistive technology and home modifications, there is a conservative estimated two-fold return on investment relating to savings on the cost of paid carers, </w:t>
      </w:r>
      <w:r w:rsidR="00E9586D" w:rsidRPr="009300C3">
        <w:rPr>
          <w:rFonts w:asciiTheme="minorHAnsi" w:hAnsiTheme="minorHAnsi" w:cstheme="minorHAnsi"/>
          <w:lang w:val="en-AU"/>
        </w:rPr>
        <w:t>support,</w:t>
      </w:r>
      <w:r w:rsidRPr="009300C3">
        <w:rPr>
          <w:rFonts w:asciiTheme="minorHAnsi" w:hAnsiTheme="minorHAnsi" w:cstheme="minorHAnsi"/>
          <w:lang w:val="en-AU"/>
        </w:rPr>
        <w:t xml:space="preserve"> and medical services.</w:t>
      </w:r>
      <w:r w:rsidR="008F0B7D">
        <w:rPr>
          <w:rStyle w:val="FootnoteReference"/>
          <w:rFonts w:asciiTheme="minorHAnsi" w:hAnsiTheme="minorHAnsi" w:cstheme="minorHAnsi"/>
          <w:lang w:val="en-AU"/>
        </w:rPr>
        <w:footnoteReference w:id="13"/>
      </w:r>
      <w:r w:rsidR="00E9586D">
        <w:rPr>
          <w:rFonts w:asciiTheme="minorHAnsi" w:hAnsiTheme="minorHAnsi" w:cstheme="minorHAnsi"/>
          <w:lang w:val="en-AU"/>
        </w:rPr>
        <w:br/>
      </w:r>
    </w:p>
    <w:p w14:paraId="31391D61" w14:textId="13C14AF6" w:rsidR="007A4C0E" w:rsidRDefault="009300C3" w:rsidP="009300C3">
      <w:pPr>
        <w:spacing w:before="120"/>
        <w:rPr>
          <w:rFonts w:asciiTheme="minorHAnsi" w:hAnsiTheme="minorHAnsi" w:cstheme="minorHAnsi"/>
          <w:lang w:val="en-AU"/>
        </w:rPr>
      </w:pPr>
      <w:r w:rsidRPr="00E9586D">
        <w:rPr>
          <w:rFonts w:asciiTheme="minorHAnsi" w:hAnsiTheme="minorHAnsi" w:cstheme="minorHAnsi"/>
          <w:b/>
          <w:bCs/>
          <w:lang w:val="en-AU"/>
        </w:rPr>
        <w:t>Recommendation 11:</w:t>
      </w:r>
      <w:r w:rsidR="00E9586D">
        <w:rPr>
          <w:rFonts w:asciiTheme="minorHAnsi" w:hAnsiTheme="minorHAnsi" w:cstheme="minorHAnsi"/>
          <w:lang w:val="en-AU"/>
        </w:rPr>
        <w:t xml:space="preserve"> </w:t>
      </w:r>
      <w:r w:rsidRPr="009300C3">
        <w:rPr>
          <w:rFonts w:asciiTheme="minorHAnsi" w:hAnsiTheme="minorHAnsi" w:cstheme="minorHAnsi"/>
          <w:lang w:val="en-AU"/>
        </w:rPr>
        <w:t>The National Dementia Action Plan must outline how the government intends to provide equitable access to assistive technology for people with dementia who are not eligible for the NDIS. This includes those receiving in-home care, as well as those living in residential care.</w:t>
      </w:r>
    </w:p>
    <w:p w14:paraId="796575C3" w14:textId="4463B519" w:rsidR="004F3CF6" w:rsidRDefault="004F3CF6" w:rsidP="009300C3">
      <w:pPr>
        <w:spacing w:before="120"/>
        <w:rPr>
          <w:rFonts w:asciiTheme="minorHAnsi" w:hAnsiTheme="minorHAnsi" w:cstheme="minorHAnsi"/>
          <w:lang w:val="en-AU"/>
        </w:rPr>
      </w:pPr>
    </w:p>
    <w:p w14:paraId="40275247" w14:textId="3F8C5199" w:rsidR="004F3CF6" w:rsidRDefault="004F3CF6" w:rsidP="009300C3">
      <w:pPr>
        <w:spacing w:before="120"/>
        <w:rPr>
          <w:rFonts w:asciiTheme="minorHAnsi" w:hAnsiTheme="minorHAnsi" w:cstheme="minorHAnsi"/>
          <w:lang w:val="en-AU"/>
        </w:rPr>
      </w:pPr>
    </w:p>
    <w:p w14:paraId="05233254" w14:textId="324E6887" w:rsidR="004F3CF6" w:rsidRDefault="004F3CF6" w:rsidP="009300C3">
      <w:pPr>
        <w:spacing w:before="120"/>
        <w:rPr>
          <w:rFonts w:asciiTheme="minorHAnsi" w:hAnsiTheme="minorHAnsi" w:cstheme="minorHAnsi"/>
          <w:lang w:val="en-AU"/>
        </w:rPr>
      </w:pPr>
    </w:p>
    <w:p w14:paraId="050CDCBC" w14:textId="597CDC08" w:rsidR="004F3CF6" w:rsidRDefault="004F3CF6" w:rsidP="009300C3">
      <w:pPr>
        <w:spacing w:before="120"/>
        <w:rPr>
          <w:rFonts w:asciiTheme="minorHAnsi" w:hAnsiTheme="minorHAnsi" w:cstheme="minorHAnsi"/>
          <w:lang w:val="en-AU"/>
        </w:rPr>
      </w:pPr>
    </w:p>
    <w:p w14:paraId="2612008A" w14:textId="1BAB7B9C" w:rsidR="004F3CF6" w:rsidRDefault="004F3CF6" w:rsidP="009300C3">
      <w:pPr>
        <w:spacing w:before="120"/>
        <w:rPr>
          <w:rFonts w:asciiTheme="minorHAnsi" w:hAnsiTheme="minorHAnsi" w:cstheme="minorHAnsi"/>
          <w:lang w:val="en-AU"/>
        </w:rPr>
      </w:pPr>
    </w:p>
    <w:p w14:paraId="1CB1E278" w14:textId="6F49E46A" w:rsidR="004F3CF6" w:rsidRDefault="004F3CF6" w:rsidP="009300C3">
      <w:pPr>
        <w:spacing w:before="120"/>
        <w:rPr>
          <w:rFonts w:asciiTheme="minorHAnsi" w:hAnsiTheme="minorHAnsi" w:cstheme="minorHAnsi"/>
          <w:lang w:val="en-AU"/>
        </w:rPr>
      </w:pPr>
    </w:p>
    <w:p w14:paraId="00CCBA03" w14:textId="4908B02C" w:rsidR="004F3CF6" w:rsidRDefault="004F3CF6" w:rsidP="009300C3">
      <w:pPr>
        <w:spacing w:before="120"/>
        <w:rPr>
          <w:rFonts w:asciiTheme="minorHAnsi" w:hAnsiTheme="minorHAnsi" w:cstheme="minorHAnsi"/>
          <w:lang w:val="en-AU"/>
        </w:rPr>
      </w:pPr>
    </w:p>
    <w:p w14:paraId="6D5B72D5" w14:textId="68513B6E" w:rsidR="004F3CF6" w:rsidRDefault="004F3CF6" w:rsidP="009300C3">
      <w:pPr>
        <w:spacing w:before="120"/>
        <w:rPr>
          <w:rFonts w:asciiTheme="minorHAnsi" w:hAnsiTheme="minorHAnsi" w:cstheme="minorHAnsi"/>
          <w:lang w:val="en-AU"/>
        </w:rPr>
      </w:pPr>
    </w:p>
    <w:p w14:paraId="0F61D417" w14:textId="371223C3" w:rsidR="004F3CF6" w:rsidRDefault="004F3CF6" w:rsidP="009300C3">
      <w:pPr>
        <w:spacing w:before="120"/>
        <w:rPr>
          <w:rFonts w:asciiTheme="minorHAnsi" w:hAnsiTheme="minorHAnsi" w:cstheme="minorHAnsi"/>
          <w:lang w:val="en-AU"/>
        </w:rPr>
      </w:pPr>
    </w:p>
    <w:p w14:paraId="6394CA13" w14:textId="5E1938DB" w:rsidR="004F3CF6" w:rsidRDefault="004F3CF6" w:rsidP="009300C3">
      <w:pPr>
        <w:spacing w:before="120"/>
        <w:rPr>
          <w:rFonts w:asciiTheme="minorHAnsi" w:hAnsiTheme="minorHAnsi" w:cstheme="minorHAnsi"/>
          <w:lang w:val="en-AU"/>
        </w:rPr>
      </w:pPr>
    </w:p>
    <w:p w14:paraId="08A7105D" w14:textId="5B31838C" w:rsidR="004F3CF6" w:rsidRDefault="004F3CF6" w:rsidP="004F3CF6">
      <w:pPr>
        <w:pStyle w:val="HeadingNew"/>
        <w:rPr>
          <w:lang w:val="en-AU"/>
        </w:rPr>
      </w:pPr>
      <w:r>
        <w:rPr>
          <w:lang w:val="en-AU"/>
        </w:rPr>
        <w:lastRenderedPageBreak/>
        <w:t>Concluding comments</w:t>
      </w:r>
    </w:p>
    <w:p w14:paraId="19690A20" w14:textId="77777777" w:rsidR="00DF2B69" w:rsidRDefault="00DF2B69" w:rsidP="00DF2B69">
      <w:pPr>
        <w:spacing w:before="120"/>
        <w:rPr>
          <w:rFonts w:asciiTheme="minorHAnsi" w:hAnsiTheme="minorHAnsi" w:cstheme="minorHAnsi"/>
          <w:lang w:val="en-AU"/>
        </w:rPr>
      </w:pPr>
      <w:r w:rsidRPr="00DF2B69">
        <w:rPr>
          <w:rFonts w:asciiTheme="minorHAnsi" w:hAnsiTheme="minorHAnsi" w:cstheme="minorHAnsi"/>
          <w:lang w:val="en-AU"/>
        </w:rPr>
        <w:t xml:space="preserve">Thank you once again for providing AFDO with an opportunity to submit feedback to inform the new National Dementia Action Plan. Should you require further information about any of the issues that have been outlined in this submission, please do not hesitate to contact our Senior Systemic Advocate, Lauren Henley. </w:t>
      </w:r>
    </w:p>
    <w:p w14:paraId="15907332" w14:textId="1A527CE6" w:rsidR="004F3CF6" w:rsidRPr="00DF2B69" w:rsidRDefault="00DF2B69" w:rsidP="00DF2B69">
      <w:pPr>
        <w:spacing w:before="120"/>
        <w:rPr>
          <w:rFonts w:asciiTheme="minorHAnsi" w:hAnsiTheme="minorHAnsi" w:cstheme="minorHAnsi"/>
          <w:lang w:val="en-AU"/>
        </w:rPr>
      </w:pPr>
      <w:r w:rsidRPr="00DF2B69">
        <w:rPr>
          <w:rFonts w:asciiTheme="minorHAnsi" w:hAnsiTheme="minorHAnsi" w:cstheme="minorHAnsi"/>
          <w:lang w:val="en-AU"/>
        </w:rPr>
        <w:t xml:space="preserve">Lauren can be contacted by phone on 0422 098 369, or by email at </w:t>
      </w:r>
      <w:hyperlink r:id="rId18" w:history="1">
        <w:r w:rsidRPr="0097600B">
          <w:rPr>
            <w:rStyle w:val="Hyperlink"/>
            <w:rFonts w:asciiTheme="minorHAnsi" w:hAnsiTheme="minorHAnsi" w:cstheme="minorHAnsi"/>
            <w:lang w:val="en-AU"/>
          </w:rPr>
          <w:t>lauren.henley@afdo.org.au</w:t>
        </w:r>
      </w:hyperlink>
      <w:r>
        <w:rPr>
          <w:rFonts w:asciiTheme="minorHAnsi" w:hAnsiTheme="minorHAnsi" w:cstheme="minorHAnsi"/>
          <w:lang w:val="en-AU"/>
        </w:rPr>
        <w:t xml:space="preserve"> </w:t>
      </w:r>
    </w:p>
    <w:p w14:paraId="58FFCB6F" w14:textId="77777777" w:rsidR="003A692C" w:rsidRPr="009300C3" w:rsidRDefault="003A692C" w:rsidP="0043611F">
      <w:pPr>
        <w:rPr>
          <w:rFonts w:asciiTheme="minorHAnsi" w:hAnsiTheme="minorHAnsi" w:cstheme="minorHAnsi"/>
          <w:lang w:val="en-AU"/>
        </w:rPr>
      </w:pPr>
    </w:p>
    <w:p w14:paraId="54D95AFB" w14:textId="77777777" w:rsidR="00026B87" w:rsidRPr="009300C3" w:rsidRDefault="00026B87" w:rsidP="00C571A0">
      <w:pPr>
        <w:rPr>
          <w:rFonts w:asciiTheme="minorHAnsi" w:hAnsiTheme="minorHAnsi" w:cstheme="minorHAnsi"/>
          <w:lang w:val="en-AU" w:eastAsia="zh-CN"/>
        </w:rPr>
      </w:pPr>
    </w:p>
    <w:sectPr w:rsidR="00026B87" w:rsidRPr="00930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EFDA" w14:textId="77777777" w:rsidR="00D21757" w:rsidRDefault="00D21757" w:rsidP="0043611F">
      <w:pPr>
        <w:spacing w:after="0" w:line="240" w:lineRule="auto"/>
      </w:pPr>
      <w:r>
        <w:separator/>
      </w:r>
    </w:p>
  </w:endnote>
  <w:endnote w:type="continuationSeparator" w:id="0">
    <w:p w14:paraId="03244737" w14:textId="77777777" w:rsidR="00D21757" w:rsidRDefault="00D21757" w:rsidP="0043611F">
      <w:pPr>
        <w:spacing w:after="0" w:line="240" w:lineRule="auto"/>
      </w:pPr>
      <w:r>
        <w:continuationSeparator/>
      </w:r>
    </w:p>
  </w:endnote>
  <w:endnote w:type="continuationNotice" w:id="1">
    <w:p w14:paraId="43B7A516" w14:textId="77777777" w:rsidR="00D21757" w:rsidRDefault="00D21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lson Pro Med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35C" w14:textId="3D40BCDA" w:rsidR="001831B7" w:rsidRDefault="00B2699D">
    <w:pPr>
      <w:pStyle w:val="Footer"/>
    </w:pPr>
    <w:r>
      <w:rPr>
        <w:noProof/>
        <w:lang w:val="en-AU" w:eastAsia="en-AU"/>
      </w:rPr>
      <mc:AlternateContent>
        <mc:Choice Requires="wps">
          <w:drawing>
            <wp:anchor distT="0" distB="0" distL="114300" distR="114300" simplePos="0" relativeHeight="251658242" behindDoc="0" locked="0" layoutInCell="1" allowOverlap="1" wp14:anchorId="6A5977A5" wp14:editId="7FBE8AF7">
              <wp:simplePos x="0" y="0"/>
              <wp:positionH relativeFrom="page">
                <wp:align>left</wp:align>
              </wp:positionH>
              <wp:positionV relativeFrom="paragraph">
                <wp:posOffset>86784</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000000"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7A5" id="Rectangle 12" o:spid="_x0000_s1026" alt="Decorative element" style="position:absolute;margin-left:0;margin-top:6.85pt;width:637.25pt;height:21.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PsqJffeAAAABwEAAA8AAABkcnMvZG93bnJldi54&#10;bWxMj8FOwzAQRO9I/Qdrkbgg6pDStErjVBWIA4ge2tC7Ey9x1Hgd2W4b+HrcExx3ZjTztliPpmdn&#10;dL6zJOBxmgBDaqzqqBXwWb0+LIH5IEnJ3hIK+EYP63JyU8hc2Qvt8LwPLYsl5HMpQIcw5Jz7RqOR&#10;fmoHpOh9WWdkiKdruXLyEstNz9MkybiRHcUFLQd81tgc9ycj4KW5r73+mKUVJa7avv8c3jbhIMTd&#10;7bhZAQs4hr8wXPEjOpSRqbYnUp71AuIjIaqzBbCrmy6e5sBqAfMsA14W/D9/+QsAAP//AwBQSwEC&#10;LQAUAAYACAAAACEAtoM4kv4AAADhAQAAEwAAAAAAAAAAAAAAAAAAAAAAW0NvbnRlbnRfVHlwZXNd&#10;LnhtbFBLAQItABQABgAIAAAAIQA4/SH/1gAAAJQBAAALAAAAAAAAAAAAAAAAAC8BAABfcmVscy8u&#10;cmVsc1BLAQItABQABgAIAAAAIQBDXC2X7wEAAMADAAAOAAAAAAAAAAAAAAAAAC4CAABkcnMvZTJv&#10;RG9jLnhtbFBLAQItABQABgAIAAAAIQD7KiX33gAAAAcBAAAPAAAAAAAAAAAAAAAAAEkEAABkcnMv&#10;ZG93bnJldi54bWxQSwUGAAAAAAQABADzAAAAVAUAAAAA&#10;" fillcolor="#41190b" stroked="f">
              <v:textbo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000000"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243" behindDoc="0" locked="0" layoutInCell="1" allowOverlap="1" wp14:anchorId="63774C69" wp14:editId="42DA6824">
              <wp:simplePos x="0" y="0"/>
              <wp:positionH relativeFrom="page">
                <wp:posOffset>-32808</wp:posOffset>
              </wp:positionH>
              <wp:positionV relativeFrom="paragraph">
                <wp:posOffset>330200</wp:posOffset>
              </wp:positionV>
              <wp:extent cx="8228118" cy="1000337"/>
              <wp:effectExtent l="0" t="0" r="1905" b="9525"/>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118" cy="1000337"/>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D553F" w14:textId="3AF9227F" w:rsidR="00FF6DD6" w:rsidRPr="00B368D3" w:rsidRDefault="00B368D3" w:rsidP="00B368D3">
                          <w:pPr>
                            <w:jc w:val="center"/>
                            <w:rPr>
                              <w:rStyle w:val="Heading2Char"/>
                              <w:rFonts w:asciiTheme="minorHAnsi" w:hAnsiTheme="minorHAnsi" w:cstheme="minorHAnsi"/>
                              <w:color w:val="FFFFFF" w:themeColor="background1"/>
                              <w:sz w:val="22"/>
                              <w:szCs w:val="22"/>
                            </w:rPr>
                          </w:pPr>
                          <w:r w:rsidRPr="00B368D3">
                            <w:rPr>
                              <w:rFonts w:asciiTheme="minorHAnsi" w:hAnsiTheme="minorHAnsi" w:cstheme="minorHAnsi"/>
                              <w:color w:val="FFFFFF" w:themeColor="background1"/>
                              <w:sz w:val="22"/>
                              <w:szCs w:val="22"/>
                              <w:lang w:val="en-AU"/>
                            </w:rPr>
                            <w:t>Feedback to inform the National Dementia Action Plan 2023-2033</w:t>
                          </w:r>
                          <w:r w:rsidR="0043611F" w:rsidRPr="00B368D3">
                            <w:rPr>
                              <w:rFonts w:asciiTheme="minorHAnsi" w:hAnsiTheme="minorHAnsi" w:cstheme="minorHAnsi"/>
                              <w:color w:val="FFFFFF" w:themeColor="background1"/>
                              <w:sz w:val="22"/>
                              <w:szCs w:val="22"/>
                              <w:lang w:val="en-AU"/>
                            </w:rPr>
                            <w:br/>
                          </w:r>
                          <w:r w:rsidR="0043611F" w:rsidRPr="00B368D3">
                            <w:rPr>
                              <w:rFonts w:asciiTheme="minorHAnsi" w:hAnsiTheme="minorHAnsi" w:cstheme="minorHAnsi"/>
                              <w:color w:val="FFFFFF" w:themeColor="background1"/>
                              <w:sz w:val="22"/>
                              <w:szCs w:val="22"/>
                              <w:lang w:val="en-AU"/>
                            </w:rPr>
                            <w:br/>
                          </w:r>
                        </w:p>
                        <w:p w14:paraId="320C402F" w14:textId="77777777" w:rsidR="001831B7" w:rsidRPr="000F2A12" w:rsidRDefault="00000000" w:rsidP="000F2A12">
                          <w:pPr>
                            <w:spacing w:after="0" w:line="240" w:lineRule="auto"/>
                            <w:ind w:left="709" w:right="1390"/>
                            <w:jc w:val="center"/>
                            <w:rPr>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4C69" id="Rectangle 11" o:spid="_x0000_s1027" alt="Decorative element" style="position:absolute;margin-left:-2.6pt;margin-top:26pt;width:647.9pt;height:78.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28wEAAMgDAAAOAAAAZHJzL2Uyb0RvYy54bWysU9tu2zAMfR+wfxD0vthOszYx4hRFig4D&#10;ugvQ9QNkWbaFyaJGKbGzrx+lpGmwvRV7EURSPCQPj9a302DYXqHXYCtezHLOlJXQaNtV/PnHw4cl&#10;Zz4I2wgDVlX8oDy/3bx/tx5dqebQg2kUMgKxvhxdxfsQXJllXvZqEH4GTlkKtoCDCGRilzUoRkIf&#10;TDbP8+tsBGwcglTek/f+GOSbhN+2SoZvbetVYKbi1FtIJ6azjme2WYuyQ+F6LU9tiDd0MQhtqegZ&#10;6l4EwXao/4EatETw0IaZhCGDttVSpRlomiL/a5qnXjiVZiFyvDvT5P8frPy6f3LfMbbu3SPIn55Z&#10;2PbCduoOEcZeiYbKFZGobHS+PCdEw1Mqq8cv0NBqxS5A4mBqcYiANB2bEtWHM9VqCkySczmfL4uC&#10;xCEpVuR5fnV1k2qI8iXdoQ+fFAwsXiqOtMsEL/aPPsR2RPnyJLUPRjcP2phkYFdvDbK9iHvPV9er&#10;tGpK8ZfPjI2PLcS0I2L0pDnjaFFFvgxTPTHdnEiInhqaAw2OcJQTyZ8uPeBvzkaSUsX9r51AxZn5&#10;bIm8VbFYRO0lY/HxZk4GXkbqy4iwkqAqHjg7XrfhqNedQ931VKlINFi4I8Jbnah47erUPsklMXSS&#10;dtTjpZ1evX7AzR8AAAD//wMAUEsDBBQABgAIAAAAIQDvJpww3QAAAAoBAAAPAAAAZHJzL2Rvd25y&#10;ZXYueG1sTI/NTsMwEITvSLyDtUjcWhtLqUiIU1VI3EmLhHrbxts4wj8hdtvQp8c9wXE0o5lv6vXs&#10;LDvTFIfgFTwtBTDyXdCD7xV87N4Wz8BiQq/RBk8KfijCurm/q7HS4eJbOm9Tz3KJjxUqMCmNFeex&#10;M+QwLsNIPnvHMDlMWU491xNecrmzXAqx4g4HnxcMjvRqqPvanpyC66b8/uwtXbF9P5Z7uzPCFa1S&#10;jw/z5gVYojn9heGGn9GhyUyHcPI6MqtgUcicVFDIfOnmy1KsgB0USFEWwJua/7/Q/AIAAP//AwBQ&#10;SwECLQAUAAYACAAAACEAtoM4kv4AAADhAQAAEwAAAAAAAAAAAAAAAAAAAAAAW0NvbnRlbnRfVHlw&#10;ZXNdLnhtbFBLAQItABQABgAIAAAAIQA4/SH/1gAAAJQBAAALAAAAAAAAAAAAAAAAAC8BAABfcmVs&#10;cy8ucmVsc1BLAQItABQABgAIAAAAIQAKwVP28wEAAMgDAAAOAAAAAAAAAAAAAAAAAC4CAABkcnMv&#10;ZTJvRG9jLnhtbFBLAQItABQABgAIAAAAIQDvJpww3QAAAAoBAAAPAAAAAAAAAAAAAAAAAE0EAABk&#10;cnMvZG93bnJldi54bWxQSwUGAAAAAAQABADzAAAAVwUAAAAA&#10;" fillcolor="#009690" stroked="f">
              <v:textbox>
                <w:txbxContent>
                  <w:p w14:paraId="7D8D553F" w14:textId="3AF9227F" w:rsidR="00FF6DD6" w:rsidRPr="00B368D3" w:rsidRDefault="00B368D3" w:rsidP="00B368D3">
                    <w:pPr>
                      <w:jc w:val="center"/>
                      <w:rPr>
                        <w:rStyle w:val="Heading2Char"/>
                        <w:rFonts w:asciiTheme="minorHAnsi" w:hAnsiTheme="minorHAnsi" w:cstheme="minorHAnsi"/>
                        <w:color w:val="FFFFFF" w:themeColor="background1"/>
                        <w:sz w:val="22"/>
                        <w:szCs w:val="22"/>
                      </w:rPr>
                    </w:pPr>
                    <w:r w:rsidRPr="00B368D3">
                      <w:rPr>
                        <w:rFonts w:asciiTheme="minorHAnsi" w:hAnsiTheme="minorHAnsi" w:cstheme="minorHAnsi"/>
                        <w:color w:val="FFFFFF" w:themeColor="background1"/>
                        <w:sz w:val="22"/>
                        <w:szCs w:val="22"/>
                        <w:lang w:val="en-AU"/>
                      </w:rPr>
                      <w:t>Feedback to inform the National Dementia Action Plan 2023-2033</w:t>
                    </w:r>
                    <w:r w:rsidR="0043611F" w:rsidRPr="00B368D3">
                      <w:rPr>
                        <w:rFonts w:asciiTheme="minorHAnsi" w:hAnsiTheme="minorHAnsi" w:cstheme="minorHAnsi"/>
                        <w:color w:val="FFFFFF" w:themeColor="background1"/>
                        <w:sz w:val="22"/>
                        <w:szCs w:val="22"/>
                        <w:lang w:val="en-AU"/>
                      </w:rPr>
                      <w:br/>
                    </w:r>
                    <w:r w:rsidR="0043611F" w:rsidRPr="00B368D3">
                      <w:rPr>
                        <w:rFonts w:asciiTheme="minorHAnsi" w:hAnsiTheme="minorHAnsi" w:cstheme="minorHAnsi"/>
                        <w:color w:val="FFFFFF" w:themeColor="background1"/>
                        <w:sz w:val="22"/>
                        <w:szCs w:val="22"/>
                        <w:lang w:val="en-AU"/>
                      </w:rPr>
                      <w:br/>
                    </w:r>
                  </w:p>
                  <w:p w14:paraId="320C402F" w14:textId="77777777" w:rsidR="001831B7" w:rsidRPr="000F2A12" w:rsidRDefault="00000000" w:rsidP="000F2A12">
                    <w:pPr>
                      <w:spacing w:after="0" w:line="240" w:lineRule="auto"/>
                      <w:ind w:left="709" w:right="1390"/>
                      <w:jc w:val="center"/>
                      <w:rPr>
                        <w:color w:val="FFFFFF" w:themeColor="background1"/>
                        <w:sz w:val="22"/>
                        <w:szCs w:val="22"/>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F43" w14:textId="77777777" w:rsidR="00942A9F" w:rsidRPr="009F1A6D" w:rsidRDefault="0043611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266C52D4" w14:textId="77777777" w:rsidR="00942A9F" w:rsidRDefault="0043611F" w:rsidP="004D6D08">
    <w:pPr>
      <w:pStyle w:val="Footer"/>
      <w:tabs>
        <w:tab w:val="right" w:pos="9639"/>
      </w:tabs>
    </w:pPr>
    <w:r>
      <w:rPr>
        <w:noProof/>
        <w:lang w:val="en-AU" w:eastAsia="en-AU"/>
      </w:rPr>
      <mc:AlternateContent>
        <mc:Choice Requires="wps">
          <w:drawing>
            <wp:anchor distT="0" distB="0" distL="114300" distR="114300" simplePos="0" relativeHeight="251658240" behindDoc="0" locked="0" layoutInCell="1" allowOverlap="1" wp14:anchorId="1508C4BC" wp14:editId="0C7026F5">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64C71" id="Rectangle 11" o:spid="_x0000_s1026" alt="Decorative element" style="position:absolute;margin-left:-86.6pt;margin-top:32.25pt;width:637.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4593437E" wp14:editId="3D912558">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6030F" id="Rectangle 12" o:spid="_x0000_s1026" alt="Decorative element" style="position:absolute;margin-left:-86.7pt;margin-top:18.8pt;width:637.25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FD39" w14:textId="77777777" w:rsidR="00D21757" w:rsidRDefault="00D21757" w:rsidP="0043611F">
      <w:pPr>
        <w:spacing w:after="0" w:line="240" w:lineRule="auto"/>
      </w:pPr>
      <w:r>
        <w:separator/>
      </w:r>
    </w:p>
  </w:footnote>
  <w:footnote w:type="continuationSeparator" w:id="0">
    <w:p w14:paraId="6AC4E9CC" w14:textId="77777777" w:rsidR="00D21757" w:rsidRDefault="00D21757" w:rsidP="0043611F">
      <w:pPr>
        <w:spacing w:after="0" w:line="240" w:lineRule="auto"/>
      </w:pPr>
      <w:r>
        <w:continuationSeparator/>
      </w:r>
    </w:p>
  </w:footnote>
  <w:footnote w:type="continuationNotice" w:id="1">
    <w:p w14:paraId="7A89C8A4" w14:textId="77777777" w:rsidR="00D21757" w:rsidRDefault="00D21757">
      <w:pPr>
        <w:spacing w:after="0" w:line="240" w:lineRule="auto"/>
      </w:pPr>
    </w:p>
  </w:footnote>
  <w:footnote w:id="2">
    <w:p w14:paraId="3413120A" w14:textId="110E9C80" w:rsidR="00C41C03" w:rsidRPr="00C41C03" w:rsidRDefault="00C41C03">
      <w:pPr>
        <w:pStyle w:val="FootnoteText"/>
        <w:rPr>
          <w:rFonts w:asciiTheme="minorHAnsi" w:hAnsiTheme="minorHAnsi" w:cstheme="minorHAnsi"/>
        </w:rPr>
      </w:pPr>
      <w:r w:rsidRPr="00C41C03">
        <w:rPr>
          <w:rStyle w:val="FootnoteReference"/>
          <w:rFonts w:asciiTheme="minorHAnsi" w:hAnsiTheme="minorHAnsi" w:cstheme="minorHAnsi"/>
        </w:rPr>
        <w:footnoteRef/>
      </w:r>
      <w:r w:rsidRPr="00C41C03">
        <w:rPr>
          <w:rFonts w:asciiTheme="minorHAnsi" w:hAnsiTheme="minorHAnsi" w:cstheme="minorHAnsi"/>
        </w:rPr>
        <w:t xml:space="preserve"> United Nations Enable (2006) Convention on the Rights of Persons with Disabilities: Article 1 - Purpose, accessed 30 January 2023, retrieved from &lt;https://www.un.org/development/desa/disabilities/convention-on-the-rights-of-persons-with-disabilities/article-1-purpose.html&gt;.</w:t>
      </w:r>
    </w:p>
  </w:footnote>
  <w:footnote w:id="3">
    <w:p w14:paraId="4B18269F" w14:textId="07F40C40" w:rsidR="00E229E2" w:rsidRPr="00E229E2" w:rsidRDefault="00E229E2">
      <w:pPr>
        <w:pStyle w:val="FootnoteText"/>
        <w:rPr>
          <w:rFonts w:asciiTheme="minorHAnsi" w:hAnsiTheme="minorHAnsi" w:cstheme="minorHAnsi"/>
        </w:rPr>
      </w:pPr>
      <w:r w:rsidRPr="00E229E2">
        <w:rPr>
          <w:rStyle w:val="FootnoteReference"/>
          <w:rFonts w:asciiTheme="minorHAnsi" w:hAnsiTheme="minorHAnsi" w:cstheme="minorHAnsi"/>
        </w:rPr>
        <w:footnoteRef/>
      </w:r>
      <w:r w:rsidRPr="00E229E2">
        <w:rPr>
          <w:rFonts w:asciiTheme="minorHAnsi" w:hAnsiTheme="minorHAnsi" w:cstheme="minorHAnsi"/>
        </w:rPr>
        <w:t xml:space="preserve"> Australian Institute of Health and Welfare (2020) People with Disability in Australia, accessed 30 January 2023, retrieved from &lt;https://www.aihw.gov.au/getmedia/ee5ee3c2-152d-4b5f-9901-71d483b47f03/aihw-dis-72.pdf.aspx?inline=true&gt;.</w:t>
      </w:r>
    </w:p>
  </w:footnote>
  <w:footnote w:id="4">
    <w:p w14:paraId="5CFE59B1" w14:textId="57538EB1" w:rsidR="00A52B4A" w:rsidRPr="00A52B4A" w:rsidRDefault="00A52B4A">
      <w:pPr>
        <w:pStyle w:val="FootnoteText"/>
        <w:rPr>
          <w:rFonts w:asciiTheme="minorHAnsi" w:hAnsiTheme="minorHAnsi" w:cstheme="minorHAnsi"/>
        </w:rPr>
      </w:pPr>
      <w:r w:rsidRPr="00A52B4A">
        <w:rPr>
          <w:rStyle w:val="FootnoteReference"/>
          <w:rFonts w:asciiTheme="minorHAnsi" w:hAnsiTheme="minorHAnsi" w:cstheme="minorHAnsi"/>
        </w:rPr>
        <w:footnoteRef/>
      </w:r>
      <w:r w:rsidRPr="00A52B4A">
        <w:rPr>
          <w:rFonts w:asciiTheme="minorHAnsi" w:hAnsiTheme="minorHAnsi" w:cstheme="minorHAnsi"/>
        </w:rPr>
        <w:t xml:space="preserve"> Australian Institute of Health and Welfare (2022) People with disability in Australia, Access to health services, accessed 30 January 2023, retrieved from &lt;https://www.aihw.gov.au/reports/disability/people-with-disability-in-australia/contents/health/access-to-health-services&gt;.</w:t>
      </w:r>
    </w:p>
  </w:footnote>
  <w:footnote w:id="5">
    <w:p w14:paraId="6ADDC6AF" w14:textId="42E4C857" w:rsidR="005D4946" w:rsidRPr="005D4946" w:rsidRDefault="005D4946" w:rsidP="005D4946">
      <w:pPr>
        <w:pStyle w:val="EndnoteText"/>
        <w:rPr>
          <w:rFonts w:asciiTheme="minorHAnsi" w:hAnsiTheme="minorHAnsi" w:cstheme="minorHAnsi"/>
          <w:lang w:val="en-AU"/>
        </w:rPr>
      </w:pPr>
      <w:r w:rsidRPr="005D4946">
        <w:rPr>
          <w:rStyle w:val="FootnoteReference"/>
          <w:rFonts w:asciiTheme="minorHAnsi" w:hAnsiTheme="minorHAnsi" w:cstheme="minorHAnsi"/>
        </w:rPr>
        <w:footnoteRef/>
      </w:r>
      <w:r w:rsidRPr="005D4946">
        <w:rPr>
          <w:rFonts w:asciiTheme="minorHAnsi" w:hAnsiTheme="minorHAnsi" w:cstheme="minorHAnsi"/>
        </w:rPr>
        <w:t xml:space="preserve"> Committee on the Rights of Persons with Disabilities (2019) Concluding observations on the combined second and third periodic reports of Australia, paragraph 48.</w:t>
      </w:r>
    </w:p>
  </w:footnote>
  <w:footnote w:id="6">
    <w:p w14:paraId="2C0C4976" w14:textId="3A56AAF3" w:rsidR="00577843" w:rsidRPr="00577843" w:rsidRDefault="001D3FAA" w:rsidP="00577843">
      <w:pPr>
        <w:pStyle w:val="EndnoteText"/>
        <w:rPr>
          <w:rFonts w:asciiTheme="minorHAnsi" w:hAnsiTheme="minorHAnsi" w:cstheme="minorHAnsi"/>
          <w:lang w:val="en-AU"/>
        </w:rPr>
      </w:pPr>
      <w:r w:rsidRPr="00577843">
        <w:rPr>
          <w:rStyle w:val="FootnoteReference"/>
          <w:rFonts w:asciiTheme="minorHAnsi" w:hAnsiTheme="minorHAnsi" w:cstheme="minorHAnsi"/>
        </w:rPr>
        <w:footnoteRef/>
      </w:r>
      <w:r w:rsidR="00577843" w:rsidRPr="00577843">
        <w:rPr>
          <w:rFonts w:asciiTheme="minorHAnsi" w:hAnsiTheme="minorHAnsi" w:cstheme="minorHAnsi"/>
        </w:rPr>
        <w:t xml:space="preserve"> Carers Australia (2023) Who is a Carer, accessed 30 January 2023, retrieved from &lt;https://www.carersaustralia.com.au/about-carers/who-is-a-carer/#:~:text=Donate%20now%20and%20help%20Carers,of%20Australia's%202.65%20million%20carers.&gt;.</w:t>
      </w:r>
    </w:p>
    <w:p w14:paraId="672D3EFA" w14:textId="6E6B0CE1" w:rsidR="001D3FAA" w:rsidRDefault="001D3FAA">
      <w:pPr>
        <w:pStyle w:val="FootnoteText"/>
      </w:pPr>
    </w:p>
  </w:footnote>
  <w:footnote w:id="7">
    <w:p w14:paraId="62C291DD" w14:textId="6B8EAAF4" w:rsidR="0044525F" w:rsidRPr="00AA63E6" w:rsidRDefault="0044525F" w:rsidP="00AA63E6">
      <w:pPr>
        <w:pStyle w:val="EndnoteText"/>
        <w:rPr>
          <w:rFonts w:asciiTheme="minorHAnsi" w:hAnsiTheme="minorHAnsi" w:cstheme="minorHAnsi"/>
          <w:lang w:val="en-AU"/>
        </w:rPr>
      </w:pPr>
      <w:r w:rsidRPr="00AA63E6">
        <w:rPr>
          <w:rStyle w:val="FootnoteReference"/>
          <w:rFonts w:asciiTheme="minorHAnsi" w:hAnsiTheme="minorHAnsi" w:cstheme="minorHAnsi"/>
        </w:rPr>
        <w:footnoteRef/>
      </w:r>
      <w:r w:rsidRPr="00AA63E6">
        <w:rPr>
          <w:rFonts w:asciiTheme="minorHAnsi" w:hAnsiTheme="minorHAnsi" w:cstheme="minorHAnsi"/>
        </w:rPr>
        <w:t xml:space="preserve"> </w:t>
      </w:r>
      <w:r w:rsidR="00AA63E6" w:rsidRPr="00AA63E6">
        <w:rPr>
          <w:rFonts w:asciiTheme="minorHAnsi" w:hAnsiTheme="minorHAnsi" w:cstheme="minorHAnsi"/>
        </w:rPr>
        <w:t>Committee on the Rights of Persons with Disabilities (2019) Concluding observations on the combined second and third periodic reports of Australia, paragraph 24.</w:t>
      </w:r>
    </w:p>
  </w:footnote>
  <w:footnote w:id="8">
    <w:p w14:paraId="7AA1041A" w14:textId="642A9FDD" w:rsidR="00E34FEF" w:rsidRPr="00431F3B" w:rsidRDefault="00E34FEF" w:rsidP="00431F3B">
      <w:pPr>
        <w:pStyle w:val="EndnoteText"/>
        <w:rPr>
          <w:rFonts w:asciiTheme="minorHAnsi" w:hAnsiTheme="minorHAnsi" w:cstheme="minorHAnsi"/>
          <w:lang w:val="en-AU"/>
        </w:rPr>
      </w:pPr>
      <w:r w:rsidRPr="00431F3B">
        <w:rPr>
          <w:rStyle w:val="FootnoteReference"/>
          <w:rFonts w:asciiTheme="minorHAnsi" w:hAnsiTheme="minorHAnsi" w:cstheme="minorHAnsi"/>
        </w:rPr>
        <w:footnoteRef/>
      </w:r>
      <w:r w:rsidRPr="00431F3B">
        <w:rPr>
          <w:rFonts w:asciiTheme="minorHAnsi" w:hAnsiTheme="minorHAnsi" w:cstheme="minorHAnsi"/>
        </w:rPr>
        <w:t xml:space="preserve"> </w:t>
      </w:r>
      <w:r w:rsidR="00431F3B" w:rsidRPr="00431F3B">
        <w:rPr>
          <w:rFonts w:asciiTheme="minorHAnsi" w:hAnsiTheme="minorHAnsi" w:cstheme="minorHAnsi"/>
        </w:rPr>
        <w:t>Dementia Australia (2022) Younger onset dementia in Australia: Prevalence estimates 2022-2058, accessed 30 January 2023, retrieved from &lt;https://www.dementia.org.au/sites/default/files/2021-03/2021-DA-Prev-Data-YOD-in-Aus.pdf&gt;.</w:t>
      </w:r>
    </w:p>
  </w:footnote>
  <w:footnote w:id="9">
    <w:p w14:paraId="4BAC650A" w14:textId="0A9072F4" w:rsidR="009300C3" w:rsidRPr="00C207B3" w:rsidRDefault="009300C3">
      <w:pPr>
        <w:pStyle w:val="FootnoteText"/>
        <w:rPr>
          <w:rFonts w:asciiTheme="minorHAnsi" w:hAnsiTheme="minorHAnsi" w:cstheme="minorHAnsi"/>
        </w:rPr>
      </w:pPr>
      <w:r w:rsidRPr="00C207B3">
        <w:rPr>
          <w:rStyle w:val="FootnoteReference"/>
          <w:rFonts w:asciiTheme="minorHAnsi" w:hAnsiTheme="minorHAnsi" w:cstheme="minorHAnsi"/>
        </w:rPr>
        <w:footnoteRef/>
      </w:r>
      <w:r w:rsidRPr="00C207B3">
        <w:rPr>
          <w:rFonts w:asciiTheme="minorHAnsi" w:hAnsiTheme="minorHAnsi" w:cstheme="minorHAnsi"/>
        </w:rPr>
        <w:t xml:space="preserve"> </w:t>
      </w:r>
      <w:r w:rsidR="00C207B3" w:rsidRPr="00C207B3">
        <w:rPr>
          <w:rFonts w:asciiTheme="minorHAnsi" w:hAnsiTheme="minorHAnsi" w:cstheme="minorHAnsi"/>
        </w:rPr>
        <w:t>Layton, N., &amp; Brusco, N. (2022) The Australian assistive technology equity studies: Improving access to assistive technology for people with disability who are not eligible for the NDIS, accessed 30 January 2023, retrieved from &lt;https://doi.org/10.26180/21113887&gt;.</w:t>
      </w:r>
    </w:p>
  </w:footnote>
  <w:footnote w:id="10">
    <w:p w14:paraId="39498C89" w14:textId="4EF91589" w:rsidR="009300C3" w:rsidRPr="0088177A" w:rsidRDefault="009300C3">
      <w:pPr>
        <w:pStyle w:val="FootnoteText"/>
        <w:rPr>
          <w:rFonts w:asciiTheme="minorHAnsi" w:hAnsiTheme="minorHAnsi" w:cstheme="minorHAnsi"/>
        </w:rPr>
      </w:pPr>
      <w:r w:rsidRPr="0088177A">
        <w:rPr>
          <w:rStyle w:val="FootnoteReference"/>
          <w:rFonts w:asciiTheme="minorHAnsi" w:hAnsiTheme="minorHAnsi" w:cstheme="minorHAnsi"/>
        </w:rPr>
        <w:footnoteRef/>
      </w:r>
      <w:r w:rsidRPr="0088177A">
        <w:rPr>
          <w:rFonts w:asciiTheme="minorHAnsi" w:hAnsiTheme="minorHAnsi" w:cstheme="minorHAnsi"/>
        </w:rPr>
        <w:t xml:space="preserve"> </w:t>
      </w:r>
      <w:r w:rsidR="0088177A" w:rsidRPr="0088177A">
        <w:rPr>
          <w:rFonts w:asciiTheme="minorHAnsi" w:hAnsiTheme="minorHAnsi" w:cstheme="minorHAnsi"/>
        </w:rPr>
        <w:t>World Health Organization (2020) Policy brief: Access to assistive technology, accessed 30 January 2023, retrieved from &lt;file:///C:/Users/LaurenHenley/Downloads/9789240005044-eng.pdf&gt;.</w:t>
      </w:r>
    </w:p>
  </w:footnote>
  <w:footnote w:id="11">
    <w:p w14:paraId="3E90699C" w14:textId="5259C2D5" w:rsidR="00E9586D" w:rsidRPr="00CD28D4" w:rsidRDefault="00E9586D" w:rsidP="00CD28D4">
      <w:pPr>
        <w:pStyle w:val="EndnoteText"/>
        <w:rPr>
          <w:rFonts w:asciiTheme="minorHAnsi" w:hAnsiTheme="minorHAnsi" w:cstheme="minorHAnsi"/>
          <w:lang w:val="en-AU"/>
        </w:rPr>
      </w:pPr>
      <w:r w:rsidRPr="008E5056">
        <w:rPr>
          <w:rStyle w:val="FootnoteReference"/>
          <w:rFonts w:asciiTheme="minorHAnsi" w:hAnsiTheme="minorHAnsi" w:cstheme="minorHAnsi"/>
          <w:color w:val="auto"/>
        </w:rPr>
        <w:footnoteRef/>
      </w:r>
      <w:r w:rsidRPr="008E5056">
        <w:rPr>
          <w:rFonts w:asciiTheme="minorHAnsi" w:hAnsiTheme="minorHAnsi" w:cstheme="minorHAnsi"/>
          <w:color w:val="auto"/>
        </w:rPr>
        <w:t xml:space="preserve"> </w:t>
      </w:r>
      <w:r w:rsidR="00CD28D4" w:rsidRPr="008E5056">
        <w:rPr>
          <w:rFonts w:asciiTheme="minorHAnsi" w:hAnsiTheme="minorHAnsi" w:cstheme="minorHAnsi"/>
          <w:color w:val="auto"/>
        </w:rPr>
        <w:t>Special Rapporteur on the Rights of Persons with Disabilities (2017) Access to rights-based support for persons with disabilities, accessed 30 January 2023, retrieved from &lt;https://documents-dds-ny.un.org/doc/UNDOC/GEN/G16/436/64/PDF/G1643664.pdf?OpenElement&gt;.</w:t>
      </w:r>
    </w:p>
  </w:footnote>
  <w:footnote w:id="12">
    <w:p w14:paraId="3D8D1FB7" w14:textId="0E3264C6" w:rsidR="0043325F" w:rsidRPr="0043325F" w:rsidRDefault="0043325F">
      <w:pPr>
        <w:pStyle w:val="FootnoteText"/>
        <w:rPr>
          <w:rFonts w:asciiTheme="minorHAnsi" w:hAnsiTheme="minorHAnsi" w:cstheme="minorHAnsi"/>
        </w:rPr>
      </w:pPr>
      <w:r w:rsidRPr="0043325F">
        <w:rPr>
          <w:rStyle w:val="FootnoteReference"/>
          <w:rFonts w:asciiTheme="minorHAnsi" w:hAnsiTheme="minorHAnsi" w:cstheme="minorHAnsi"/>
        </w:rPr>
        <w:footnoteRef/>
      </w:r>
      <w:r w:rsidRPr="0043325F">
        <w:rPr>
          <w:rFonts w:asciiTheme="minorHAnsi" w:hAnsiTheme="minorHAnsi" w:cstheme="minorHAnsi"/>
        </w:rPr>
        <w:t xml:space="preserve"> Royal Commission into Aged Care Quality and Safety (2021) Final report: List of recommendations, accessed 30 January 2023, retrieved from &lt;https://agedcare.royalcommission.gov.au/sites/default/files/2021-03/final-report-recommendations.pdf&gt;.</w:t>
      </w:r>
    </w:p>
  </w:footnote>
  <w:footnote w:id="13">
    <w:p w14:paraId="11A97C88" w14:textId="670F7F3F" w:rsidR="008F0B7D" w:rsidRPr="008F0B7D" w:rsidRDefault="008F0B7D">
      <w:pPr>
        <w:pStyle w:val="FootnoteText"/>
        <w:rPr>
          <w:rFonts w:asciiTheme="minorHAnsi" w:hAnsiTheme="minorHAnsi" w:cstheme="minorHAnsi"/>
        </w:rPr>
      </w:pPr>
      <w:r w:rsidRPr="008F0B7D">
        <w:rPr>
          <w:rStyle w:val="FootnoteReference"/>
          <w:rFonts w:asciiTheme="minorHAnsi" w:hAnsiTheme="minorHAnsi" w:cstheme="minorHAnsi"/>
        </w:rPr>
        <w:footnoteRef/>
      </w:r>
      <w:r w:rsidRPr="008F0B7D">
        <w:rPr>
          <w:rFonts w:asciiTheme="minorHAnsi" w:hAnsiTheme="minorHAnsi" w:cstheme="minorHAnsi"/>
        </w:rPr>
        <w:t xml:space="preserve"> Australian Healthcare Associates (2020) Review of Assistive Technology Programs in Australia: Final Report to the Commonwealth Department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010" w14:textId="77777777" w:rsidR="00942A9F" w:rsidRPr="00990CB1" w:rsidRDefault="0043611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178" w14:textId="77777777" w:rsidR="00942A9F" w:rsidRDefault="00000000">
    <w:pPr>
      <w:pStyle w:val="Header"/>
    </w:pPr>
  </w:p>
  <w:p w14:paraId="6C71E1DF" w14:textId="77777777" w:rsidR="00942A9F"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A65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3E30"/>
    <w:multiLevelType w:val="hybridMultilevel"/>
    <w:tmpl w:val="F668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04C8C"/>
    <w:multiLevelType w:val="hybridMultilevel"/>
    <w:tmpl w:val="8D184CD6"/>
    <w:lvl w:ilvl="0" w:tplc="2DF6B47C">
      <w:start w:val="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F2373"/>
    <w:multiLevelType w:val="multilevel"/>
    <w:tmpl w:val="9CEA337C"/>
    <w:styleLink w:val="CurrentList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A0971"/>
    <w:multiLevelType w:val="hybridMultilevel"/>
    <w:tmpl w:val="A448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33542"/>
    <w:multiLevelType w:val="multilevel"/>
    <w:tmpl w:val="92D684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8B104F"/>
    <w:multiLevelType w:val="hybridMultilevel"/>
    <w:tmpl w:val="9FF2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92B72"/>
    <w:multiLevelType w:val="hybridMultilevel"/>
    <w:tmpl w:val="009A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30A1C"/>
    <w:multiLevelType w:val="hybridMultilevel"/>
    <w:tmpl w:val="6CD48C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5E4EDD"/>
    <w:multiLevelType w:val="hybridMultilevel"/>
    <w:tmpl w:val="70DC2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37219"/>
    <w:multiLevelType w:val="hybridMultilevel"/>
    <w:tmpl w:val="1BA86BD2"/>
    <w:lvl w:ilvl="0" w:tplc="4DBA28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5C25B2"/>
    <w:multiLevelType w:val="hybridMultilevel"/>
    <w:tmpl w:val="D2D85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75CE3"/>
    <w:multiLevelType w:val="hybridMultilevel"/>
    <w:tmpl w:val="C8CA8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55348"/>
    <w:multiLevelType w:val="hybridMultilevel"/>
    <w:tmpl w:val="855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7515B"/>
    <w:multiLevelType w:val="hybridMultilevel"/>
    <w:tmpl w:val="74267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E22E92"/>
    <w:multiLevelType w:val="hybridMultilevel"/>
    <w:tmpl w:val="ADC6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B3C08"/>
    <w:multiLevelType w:val="hybridMultilevel"/>
    <w:tmpl w:val="951A9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FB445C"/>
    <w:multiLevelType w:val="hybridMultilevel"/>
    <w:tmpl w:val="8D3CA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430D9"/>
    <w:multiLevelType w:val="hybridMultilevel"/>
    <w:tmpl w:val="B26E9C04"/>
    <w:lvl w:ilvl="0" w:tplc="0C090001">
      <w:start w:val="1"/>
      <w:numFmt w:val="bullet"/>
      <w:lvlText w:val=""/>
      <w:lvlJc w:val="left"/>
      <w:pPr>
        <w:ind w:left="1080" w:hanging="360"/>
      </w:pPr>
      <w:rPr>
        <w:rFonts w:ascii="Symbol" w:hAnsi="Symbol" w:hint="default"/>
      </w:rPr>
    </w:lvl>
    <w:lvl w:ilvl="1" w:tplc="C21C4450">
      <w:numFmt w:val="bullet"/>
      <w:lvlText w:val="•"/>
      <w:lvlJc w:val="left"/>
      <w:pPr>
        <w:ind w:left="2160" w:hanging="720"/>
      </w:pPr>
      <w:rPr>
        <w:rFonts w:ascii="Calibri" w:eastAsia="Cambria"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533324"/>
    <w:multiLevelType w:val="hybridMultilevel"/>
    <w:tmpl w:val="79541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CD79C6"/>
    <w:multiLevelType w:val="hybridMultilevel"/>
    <w:tmpl w:val="70DAE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5D1CA4"/>
    <w:multiLevelType w:val="hybridMultilevel"/>
    <w:tmpl w:val="008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30927"/>
    <w:multiLevelType w:val="hybridMultilevel"/>
    <w:tmpl w:val="8714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F733F"/>
    <w:multiLevelType w:val="hybridMultilevel"/>
    <w:tmpl w:val="EEC2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843C8A"/>
    <w:multiLevelType w:val="hybridMultilevel"/>
    <w:tmpl w:val="B3F8C2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6639FD"/>
    <w:multiLevelType w:val="hybridMultilevel"/>
    <w:tmpl w:val="2FCCF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B90561"/>
    <w:multiLevelType w:val="hybridMultilevel"/>
    <w:tmpl w:val="29DC28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769634D1"/>
    <w:multiLevelType w:val="hybridMultilevel"/>
    <w:tmpl w:val="FC48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FE11C0"/>
    <w:multiLevelType w:val="multilevel"/>
    <w:tmpl w:val="0EB24560"/>
    <w:styleLink w:val="CurrentList1"/>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999511">
    <w:abstractNumId w:val="10"/>
  </w:num>
  <w:num w:numId="2" w16cid:durableId="407187900">
    <w:abstractNumId w:val="15"/>
  </w:num>
  <w:num w:numId="3" w16cid:durableId="1572697436">
    <w:abstractNumId w:val="5"/>
  </w:num>
  <w:num w:numId="4" w16cid:durableId="2003659398">
    <w:abstractNumId w:val="31"/>
  </w:num>
  <w:num w:numId="5" w16cid:durableId="2109347592">
    <w:abstractNumId w:val="3"/>
  </w:num>
  <w:num w:numId="6" w16cid:durableId="1708215763">
    <w:abstractNumId w:val="6"/>
  </w:num>
  <w:num w:numId="7" w16cid:durableId="1484544425">
    <w:abstractNumId w:val="9"/>
  </w:num>
  <w:num w:numId="8" w16cid:durableId="305356762">
    <w:abstractNumId w:val="2"/>
  </w:num>
  <w:num w:numId="9" w16cid:durableId="1933397297">
    <w:abstractNumId w:val="4"/>
  </w:num>
  <w:num w:numId="10" w16cid:durableId="1354310099">
    <w:abstractNumId w:val="24"/>
  </w:num>
  <w:num w:numId="11" w16cid:durableId="1213692426">
    <w:abstractNumId w:val="14"/>
  </w:num>
  <w:num w:numId="12" w16cid:durableId="1805001385">
    <w:abstractNumId w:val="22"/>
  </w:num>
  <w:num w:numId="13" w16cid:durableId="1717503249">
    <w:abstractNumId w:val="17"/>
  </w:num>
  <w:num w:numId="14" w16cid:durableId="1938562650">
    <w:abstractNumId w:val="26"/>
  </w:num>
  <w:num w:numId="15" w16cid:durableId="1752389394">
    <w:abstractNumId w:val="19"/>
  </w:num>
  <w:num w:numId="16" w16cid:durableId="932083200">
    <w:abstractNumId w:val="27"/>
  </w:num>
  <w:num w:numId="17" w16cid:durableId="136458215">
    <w:abstractNumId w:val="29"/>
  </w:num>
  <w:num w:numId="18" w16cid:durableId="1245383127">
    <w:abstractNumId w:val="21"/>
  </w:num>
  <w:num w:numId="19" w16cid:durableId="1210456836">
    <w:abstractNumId w:val="0"/>
  </w:num>
  <w:num w:numId="20" w16cid:durableId="97605251">
    <w:abstractNumId w:val="16"/>
  </w:num>
  <w:num w:numId="21" w16cid:durableId="1108544583">
    <w:abstractNumId w:val="11"/>
  </w:num>
  <w:num w:numId="22" w16cid:durableId="832337734">
    <w:abstractNumId w:val="20"/>
  </w:num>
  <w:num w:numId="23" w16cid:durableId="1065375625">
    <w:abstractNumId w:val="8"/>
  </w:num>
  <w:num w:numId="24" w16cid:durableId="910774097">
    <w:abstractNumId w:val="18"/>
  </w:num>
  <w:num w:numId="25" w16cid:durableId="426923340">
    <w:abstractNumId w:val="30"/>
  </w:num>
  <w:num w:numId="26" w16cid:durableId="390688782">
    <w:abstractNumId w:val="12"/>
  </w:num>
  <w:num w:numId="27" w16cid:durableId="644429267">
    <w:abstractNumId w:val="23"/>
  </w:num>
  <w:num w:numId="28" w16cid:durableId="1604872503">
    <w:abstractNumId w:val="25"/>
  </w:num>
  <w:num w:numId="29" w16cid:durableId="181163480">
    <w:abstractNumId w:val="13"/>
  </w:num>
  <w:num w:numId="30" w16cid:durableId="2066220105">
    <w:abstractNumId w:val="7"/>
  </w:num>
  <w:num w:numId="31" w16cid:durableId="1895003884">
    <w:abstractNumId w:val="1"/>
  </w:num>
  <w:num w:numId="32" w16cid:durableId="3871529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1F"/>
    <w:rsid w:val="00001BFD"/>
    <w:rsid w:val="000038D1"/>
    <w:rsid w:val="00004F22"/>
    <w:rsid w:val="00006E54"/>
    <w:rsid w:val="00011AEE"/>
    <w:rsid w:val="00013674"/>
    <w:rsid w:val="000245A0"/>
    <w:rsid w:val="00026B87"/>
    <w:rsid w:val="00027A83"/>
    <w:rsid w:val="00030360"/>
    <w:rsid w:val="0003045E"/>
    <w:rsid w:val="000324C0"/>
    <w:rsid w:val="00040346"/>
    <w:rsid w:val="00041EC4"/>
    <w:rsid w:val="000445FC"/>
    <w:rsid w:val="0004515E"/>
    <w:rsid w:val="0004650A"/>
    <w:rsid w:val="000505D9"/>
    <w:rsid w:val="00056773"/>
    <w:rsid w:val="00057437"/>
    <w:rsid w:val="00057EFE"/>
    <w:rsid w:val="000611D2"/>
    <w:rsid w:val="00061686"/>
    <w:rsid w:val="00061F0D"/>
    <w:rsid w:val="00064F3C"/>
    <w:rsid w:val="0006608A"/>
    <w:rsid w:val="00073C9F"/>
    <w:rsid w:val="000743F0"/>
    <w:rsid w:val="00076A51"/>
    <w:rsid w:val="00084C74"/>
    <w:rsid w:val="00085A4F"/>
    <w:rsid w:val="000879B6"/>
    <w:rsid w:val="00092247"/>
    <w:rsid w:val="000943A1"/>
    <w:rsid w:val="000A0A75"/>
    <w:rsid w:val="000A1B41"/>
    <w:rsid w:val="000A6C1E"/>
    <w:rsid w:val="000B44CE"/>
    <w:rsid w:val="000C101C"/>
    <w:rsid w:val="000C1CC4"/>
    <w:rsid w:val="000C2814"/>
    <w:rsid w:val="000C486E"/>
    <w:rsid w:val="000C7CD6"/>
    <w:rsid w:val="000D0BED"/>
    <w:rsid w:val="000D48C1"/>
    <w:rsid w:val="000D712A"/>
    <w:rsid w:val="000D72DF"/>
    <w:rsid w:val="000E4CB1"/>
    <w:rsid w:val="000F010A"/>
    <w:rsid w:val="000F2A12"/>
    <w:rsid w:val="000F3B07"/>
    <w:rsid w:val="000F4260"/>
    <w:rsid w:val="000F4E3C"/>
    <w:rsid w:val="000F6BCF"/>
    <w:rsid w:val="0010059E"/>
    <w:rsid w:val="00101A48"/>
    <w:rsid w:val="00102743"/>
    <w:rsid w:val="001027C8"/>
    <w:rsid w:val="00106F5D"/>
    <w:rsid w:val="001110CB"/>
    <w:rsid w:val="00111AFE"/>
    <w:rsid w:val="00112B56"/>
    <w:rsid w:val="00115352"/>
    <w:rsid w:val="00117989"/>
    <w:rsid w:val="00117B15"/>
    <w:rsid w:val="00117C8B"/>
    <w:rsid w:val="00124597"/>
    <w:rsid w:val="00125EFD"/>
    <w:rsid w:val="001273F8"/>
    <w:rsid w:val="00130813"/>
    <w:rsid w:val="00137C94"/>
    <w:rsid w:val="00143CC2"/>
    <w:rsid w:val="00144617"/>
    <w:rsid w:val="001467E3"/>
    <w:rsid w:val="001507CA"/>
    <w:rsid w:val="001510B8"/>
    <w:rsid w:val="001537EE"/>
    <w:rsid w:val="00153AFE"/>
    <w:rsid w:val="00155438"/>
    <w:rsid w:val="00156516"/>
    <w:rsid w:val="00160A09"/>
    <w:rsid w:val="00162550"/>
    <w:rsid w:val="00162D5B"/>
    <w:rsid w:val="0016396A"/>
    <w:rsid w:val="001649C2"/>
    <w:rsid w:val="00164A4A"/>
    <w:rsid w:val="00171442"/>
    <w:rsid w:val="00176345"/>
    <w:rsid w:val="0018180F"/>
    <w:rsid w:val="00183940"/>
    <w:rsid w:val="001848C8"/>
    <w:rsid w:val="001862C5"/>
    <w:rsid w:val="00190E3D"/>
    <w:rsid w:val="00191297"/>
    <w:rsid w:val="00193D3D"/>
    <w:rsid w:val="00194DC9"/>
    <w:rsid w:val="00196E23"/>
    <w:rsid w:val="001A0F19"/>
    <w:rsid w:val="001A22F1"/>
    <w:rsid w:val="001A4C40"/>
    <w:rsid w:val="001A4CD6"/>
    <w:rsid w:val="001A5730"/>
    <w:rsid w:val="001A580D"/>
    <w:rsid w:val="001B02E7"/>
    <w:rsid w:val="001B0B6C"/>
    <w:rsid w:val="001B2FAB"/>
    <w:rsid w:val="001B5CF1"/>
    <w:rsid w:val="001B721B"/>
    <w:rsid w:val="001C1F55"/>
    <w:rsid w:val="001C37CC"/>
    <w:rsid w:val="001C5B49"/>
    <w:rsid w:val="001D3FAA"/>
    <w:rsid w:val="001D449C"/>
    <w:rsid w:val="001E0BB8"/>
    <w:rsid w:val="001E34F0"/>
    <w:rsid w:val="001E3C65"/>
    <w:rsid w:val="001E473B"/>
    <w:rsid w:val="001F2A77"/>
    <w:rsid w:val="001F7C5A"/>
    <w:rsid w:val="0020048B"/>
    <w:rsid w:val="002145A3"/>
    <w:rsid w:val="00216161"/>
    <w:rsid w:val="0021637D"/>
    <w:rsid w:val="00217ABE"/>
    <w:rsid w:val="00220D7C"/>
    <w:rsid w:val="00220DFB"/>
    <w:rsid w:val="002309BA"/>
    <w:rsid w:val="002316D2"/>
    <w:rsid w:val="002325F6"/>
    <w:rsid w:val="00243503"/>
    <w:rsid w:val="00244FA2"/>
    <w:rsid w:val="00246F5E"/>
    <w:rsid w:val="00251BC3"/>
    <w:rsid w:val="00252378"/>
    <w:rsid w:val="00263A24"/>
    <w:rsid w:val="00264E2D"/>
    <w:rsid w:val="00270573"/>
    <w:rsid w:val="00270701"/>
    <w:rsid w:val="0027096E"/>
    <w:rsid w:val="00274BA7"/>
    <w:rsid w:val="002767B0"/>
    <w:rsid w:val="00277AB5"/>
    <w:rsid w:val="002857B2"/>
    <w:rsid w:val="00292565"/>
    <w:rsid w:val="0029281A"/>
    <w:rsid w:val="002933EA"/>
    <w:rsid w:val="002941B1"/>
    <w:rsid w:val="002961A1"/>
    <w:rsid w:val="00297799"/>
    <w:rsid w:val="002A00F3"/>
    <w:rsid w:val="002A03CE"/>
    <w:rsid w:val="002A1EF7"/>
    <w:rsid w:val="002A20ED"/>
    <w:rsid w:val="002A20FA"/>
    <w:rsid w:val="002A51B2"/>
    <w:rsid w:val="002A7FC3"/>
    <w:rsid w:val="002B15EC"/>
    <w:rsid w:val="002B17C1"/>
    <w:rsid w:val="002B1D2E"/>
    <w:rsid w:val="002C23FC"/>
    <w:rsid w:val="002C343C"/>
    <w:rsid w:val="002C559C"/>
    <w:rsid w:val="002C7563"/>
    <w:rsid w:val="002D12E3"/>
    <w:rsid w:val="002D37F8"/>
    <w:rsid w:val="002D5221"/>
    <w:rsid w:val="002D609B"/>
    <w:rsid w:val="002D60FC"/>
    <w:rsid w:val="002E2B4F"/>
    <w:rsid w:val="002E346D"/>
    <w:rsid w:val="002E445F"/>
    <w:rsid w:val="002E6B74"/>
    <w:rsid w:val="00303F3F"/>
    <w:rsid w:val="0030618A"/>
    <w:rsid w:val="00307062"/>
    <w:rsid w:val="0030794F"/>
    <w:rsid w:val="0031543A"/>
    <w:rsid w:val="00322A9C"/>
    <w:rsid w:val="00322DC4"/>
    <w:rsid w:val="00330542"/>
    <w:rsid w:val="00331157"/>
    <w:rsid w:val="003329E6"/>
    <w:rsid w:val="003336F8"/>
    <w:rsid w:val="00340E81"/>
    <w:rsid w:val="003424C0"/>
    <w:rsid w:val="00346092"/>
    <w:rsid w:val="003503FC"/>
    <w:rsid w:val="003530C5"/>
    <w:rsid w:val="003603CF"/>
    <w:rsid w:val="00360E3B"/>
    <w:rsid w:val="00363224"/>
    <w:rsid w:val="0036355E"/>
    <w:rsid w:val="003652D9"/>
    <w:rsid w:val="0037394F"/>
    <w:rsid w:val="00377DF0"/>
    <w:rsid w:val="00380F9B"/>
    <w:rsid w:val="00381207"/>
    <w:rsid w:val="003847F6"/>
    <w:rsid w:val="00385E5A"/>
    <w:rsid w:val="00390D17"/>
    <w:rsid w:val="00392471"/>
    <w:rsid w:val="00394021"/>
    <w:rsid w:val="003A38F0"/>
    <w:rsid w:val="003A3D67"/>
    <w:rsid w:val="003A66B6"/>
    <w:rsid w:val="003A692C"/>
    <w:rsid w:val="003A7C93"/>
    <w:rsid w:val="003B0664"/>
    <w:rsid w:val="003B2F4B"/>
    <w:rsid w:val="003B351D"/>
    <w:rsid w:val="003B3755"/>
    <w:rsid w:val="003B3C35"/>
    <w:rsid w:val="003B5208"/>
    <w:rsid w:val="003B7B49"/>
    <w:rsid w:val="003D06AF"/>
    <w:rsid w:val="003D1CF8"/>
    <w:rsid w:val="003D6491"/>
    <w:rsid w:val="003E3966"/>
    <w:rsid w:val="003E760B"/>
    <w:rsid w:val="003F6271"/>
    <w:rsid w:val="003F629A"/>
    <w:rsid w:val="00403851"/>
    <w:rsid w:val="004039BF"/>
    <w:rsid w:val="004041FE"/>
    <w:rsid w:val="00404718"/>
    <w:rsid w:val="00406358"/>
    <w:rsid w:val="00406ABD"/>
    <w:rsid w:val="00410C7F"/>
    <w:rsid w:val="00413A4B"/>
    <w:rsid w:val="00416265"/>
    <w:rsid w:val="00416305"/>
    <w:rsid w:val="00416CBC"/>
    <w:rsid w:val="00420733"/>
    <w:rsid w:val="004218FA"/>
    <w:rsid w:val="004261F6"/>
    <w:rsid w:val="00430475"/>
    <w:rsid w:val="00430775"/>
    <w:rsid w:val="004319C6"/>
    <w:rsid w:val="00431F3B"/>
    <w:rsid w:val="00432C98"/>
    <w:rsid w:val="00432CD3"/>
    <w:rsid w:val="0043325F"/>
    <w:rsid w:val="0043611F"/>
    <w:rsid w:val="00436D9C"/>
    <w:rsid w:val="00440B21"/>
    <w:rsid w:val="00440B8A"/>
    <w:rsid w:val="00441543"/>
    <w:rsid w:val="0044525F"/>
    <w:rsid w:val="0044662C"/>
    <w:rsid w:val="0044792F"/>
    <w:rsid w:val="00452553"/>
    <w:rsid w:val="004525BE"/>
    <w:rsid w:val="00453545"/>
    <w:rsid w:val="00454008"/>
    <w:rsid w:val="004579CC"/>
    <w:rsid w:val="004610A8"/>
    <w:rsid w:val="00464A4F"/>
    <w:rsid w:val="00470667"/>
    <w:rsid w:val="00470A80"/>
    <w:rsid w:val="0047114E"/>
    <w:rsid w:val="004762E2"/>
    <w:rsid w:val="004767D3"/>
    <w:rsid w:val="0047761F"/>
    <w:rsid w:val="004800DC"/>
    <w:rsid w:val="00481040"/>
    <w:rsid w:val="00481092"/>
    <w:rsid w:val="0048201F"/>
    <w:rsid w:val="00487CE0"/>
    <w:rsid w:val="00497293"/>
    <w:rsid w:val="004A02A8"/>
    <w:rsid w:val="004A3E07"/>
    <w:rsid w:val="004A692A"/>
    <w:rsid w:val="004A747E"/>
    <w:rsid w:val="004B0CDB"/>
    <w:rsid w:val="004B69D5"/>
    <w:rsid w:val="004B6C2E"/>
    <w:rsid w:val="004C1598"/>
    <w:rsid w:val="004C1C22"/>
    <w:rsid w:val="004D273F"/>
    <w:rsid w:val="004D4BF6"/>
    <w:rsid w:val="004D58A6"/>
    <w:rsid w:val="004D7C04"/>
    <w:rsid w:val="004E1E92"/>
    <w:rsid w:val="004E5A1C"/>
    <w:rsid w:val="004E6149"/>
    <w:rsid w:val="004E6196"/>
    <w:rsid w:val="004E6F20"/>
    <w:rsid w:val="004E7FA4"/>
    <w:rsid w:val="004F2453"/>
    <w:rsid w:val="004F3CF6"/>
    <w:rsid w:val="004F4A00"/>
    <w:rsid w:val="0051068C"/>
    <w:rsid w:val="005141BD"/>
    <w:rsid w:val="005178F1"/>
    <w:rsid w:val="00520117"/>
    <w:rsid w:val="005220F8"/>
    <w:rsid w:val="00526F96"/>
    <w:rsid w:val="00530C0D"/>
    <w:rsid w:val="005318B2"/>
    <w:rsid w:val="0053316C"/>
    <w:rsid w:val="0053445F"/>
    <w:rsid w:val="00534DBA"/>
    <w:rsid w:val="005372B7"/>
    <w:rsid w:val="00540457"/>
    <w:rsid w:val="00542E74"/>
    <w:rsid w:val="005447BA"/>
    <w:rsid w:val="005628F2"/>
    <w:rsid w:val="005705C2"/>
    <w:rsid w:val="00574E02"/>
    <w:rsid w:val="00575312"/>
    <w:rsid w:val="00575F45"/>
    <w:rsid w:val="00576D07"/>
    <w:rsid w:val="00577843"/>
    <w:rsid w:val="00577C7C"/>
    <w:rsid w:val="00581A63"/>
    <w:rsid w:val="00581FFA"/>
    <w:rsid w:val="00583511"/>
    <w:rsid w:val="005840F5"/>
    <w:rsid w:val="00584A62"/>
    <w:rsid w:val="00585554"/>
    <w:rsid w:val="00586343"/>
    <w:rsid w:val="005927D0"/>
    <w:rsid w:val="00595E1E"/>
    <w:rsid w:val="005A0C21"/>
    <w:rsid w:val="005A48DC"/>
    <w:rsid w:val="005B0702"/>
    <w:rsid w:val="005B0E1A"/>
    <w:rsid w:val="005B3135"/>
    <w:rsid w:val="005B44EA"/>
    <w:rsid w:val="005B4C28"/>
    <w:rsid w:val="005B5424"/>
    <w:rsid w:val="005B71D8"/>
    <w:rsid w:val="005C0BA4"/>
    <w:rsid w:val="005C27B9"/>
    <w:rsid w:val="005C73E0"/>
    <w:rsid w:val="005D000C"/>
    <w:rsid w:val="005D4946"/>
    <w:rsid w:val="005D62E7"/>
    <w:rsid w:val="005D7043"/>
    <w:rsid w:val="005D7F46"/>
    <w:rsid w:val="005E2612"/>
    <w:rsid w:val="005E337F"/>
    <w:rsid w:val="005E42CF"/>
    <w:rsid w:val="005F028F"/>
    <w:rsid w:val="005F585B"/>
    <w:rsid w:val="005F6AA0"/>
    <w:rsid w:val="005F753F"/>
    <w:rsid w:val="005F7CDC"/>
    <w:rsid w:val="00600E10"/>
    <w:rsid w:val="006014DE"/>
    <w:rsid w:val="00602100"/>
    <w:rsid w:val="006039C5"/>
    <w:rsid w:val="00606B3E"/>
    <w:rsid w:val="0061138F"/>
    <w:rsid w:val="0061265F"/>
    <w:rsid w:val="0061690C"/>
    <w:rsid w:val="006173C7"/>
    <w:rsid w:val="00621587"/>
    <w:rsid w:val="00622775"/>
    <w:rsid w:val="00623938"/>
    <w:rsid w:val="00626765"/>
    <w:rsid w:val="0063069B"/>
    <w:rsid w:val="0063421E"/>
    <w:rsid w:val="006342C8"/>
    <w:rsid w:val="00637161"/>
    <w:rsid w:val="00637E3F"/>
    <w:rsid w:val="00642BEA"/>
    <w:rsid w:val="006450B3"/>
    <w:rsid w:val="006457A2"/>
    <w:rsid w:val="00645FA8"/>
    <w:rsid w:val="00647720"/>
    <w:rsid w:val="0065363A"/>
    <w:rsid w:val="0065750D"/>
    <w:rsid w:val="0066557F"/>
    <w:rsid w:val="00665690"/>
    <w:rsid w:val="00665AE5"/>
    <w:rsid w:val="0066627B"/>
    <w:rsid w:val="0066671D"/>
    <w:rsid w:val="00666E2E"/>
    <w:rsid w:val="00672F19"/>
    <w:rsid w:val="00673A0B"/>
    <w:rsid w:val="00674B01"/>
    <w:rsid w:val="00681846"/>
    <w:rsid w:val="006868D8"/>
    <w:rsid w:val="006877BC"/>
    <w:rsid w:val="00687BE7"/>
    <w:rsid w:val="00690842"/>
    <w:rsid w:val="00690DCC"/>
    <w:rsid w:val="0069298B"/>
    <w:rsid w:val="006942DE"/>
    <w:rsid w:val="00694E3B"/>
    <w:rsid w:val="00697C60"/>
    <w:rsid w:val="006A1691"/>
    <w:rsid w:val="006A3D88"/>
    <w:rsid w:val="006A6B21"/>
    <w:rsid w:val="006A78DB"/>
    <w:rsid w:val="006B0DB1"/>
    <w:rsid w:val="006B28E5"/>
    <w:rsid w:val="006B49FE"/>
    <w:rsid w:val="006B6687"/>
    <w:rsid w:val="006C7AA6"/>
    <w:rsid w:val="006D06DA"/>
    <w:rsid w:val="006D4D3D"/>
    <w:rsid w:val="006D4FFD"/>
    <w:rsid w:val="006D6ABD"/>
    <w:rsid w:val="006D7F90"/>
    <w:rsid w:val="006E3102"/>
    <w:rsid w:val="006E534F"/>
    <w:rsid w:val="006E5B2D"/>
    <w:rsid w:val="006F03A8"/>
    <w:rsid w:val="006F14EA"/>
    <w:rsid w:val="006F4764"/>
    <w:rsid w:val="006F5449"/>
    <w:rsid w:val="00704C49"/>
    <w:rsid w:val="007065FC"/>
    <w:rsid w:val="007074A3"/>
    <w:rsid w:val="007159BA"/>
    <w:rsid w:val="00716937"/>
    <w:rsid w:val="00717CBD"/>
    <w:rsid w:val="00721F5F"/>
    <w:rsid w:val="00722D6F"/>
    <w:rsid w:val="007257AB"/>
    <w:rsid w:val="0073083C"/>
    <w:rsid w:val="00730B77"/>
    <w:rsid w:val="007326FD"/>
    <w:rsid w:val="00733BC2"/>
    <w:rsid w:val="007347FE"/>
    <w:rsid w:val="0073697D"/>
    <w:rsid w:val="0074407E"/>
    <w:rsid w:val="007455CA"/>
    <w:rsid w:val="007517F0"/>
    <w:rsid w:val="007572D9"/>
    <w:rsid w:val="00760964"/>
    <w:rsid w:val="0076424C"/>
    <w:rsid w:val="00765F3D"/>
    <w:rsid w:val="00767299"/>
    <w:rsid w:val="00767D05"/>
    <w:rsid w:val="00771068"/>
    <w:rsid w:val="007710E1"/>
    <w:rsid w:val="00771F3D"/>
    <w:rsid w:val="0077320E"/>
    <w:rsid w:val="00773917"/>
    <w:rsid w:val="00773B1C"/>
    <w:rsid w:val="00780048"/>
    <w:rsid w:val="007808A1"/>
    <w:rsid w:val="007814FB"/>
    <w:rsid w:val="00785425"/>
    <w:rsid w:val="00786B48"/>
    <w:rsid w:val="0078727F"/>
    <w:rsid w:val="00791220"/>
    <w:rsid w:val="0079140B"/>
    <w:rsid w:val="00793520"/>
    <w:rsid w:val="007A284D"/>
    <w:rsid w:val="007A38B2"/>
    <w:rsid w:val="007A4C0E"/>
    <w:rsid w:val="007A63A2"/>
    <w:rsid w:val="007B286D"/>
    <w:rsid w:val="007B2874"/>
    <w:rsid w:val="007B32C1"/>
    <w:rsid w:val="007B3529"/>
    <w:rsid w:val="007C51C0"/>
    <w:rsid w:val="007C676C"/>
    <w:rsid w:val="007D067C"/>
    <w:rsid w:val="007D097A"/>
    <w:rsid w:val="007D0A0C"/>
    <w:rsid w:val="007D2441"/>
    <w:rsid w:val="007D269B"/>
    <w:rsid w:val="007D331E"/>
    <w:rsid w:val="007D37DD"/>
    <w:rsid w:val="007D65F4"/>
    <w:rsid w:val="007E209E"/>
    <w:rsid w:val="007E558A"/>
    <w:rsid w:val="007E5C4F"/>
    <w:rsid w:val="007F2171"/>
    <w:rsid w:val="007F36B8"/>
    <w:rsid w:val="007F3D27"/>
    <w:rsid w:val="007F3DF5"/>
    <w:rsid w:val="007F6939"/>
    <w:rsid w:val="007F7E59"/>
    <w:rsid w:val="0080029F"/>
    <w:rsid w:val="00801976"/>
    <w:rsid w:val="00816F2A"/>
    <w:rsid w:val="00817164"/>
    <w:rsid w:val="00820E86"/>
    <w:rsid w:val="008242BF"/>
    <w:rsid w:val="00830133"/>
    <w:rsid w:val="00832428"/>
    <w:rsid w:val="00832D74"/>
    <w:rsid w:val="00834593"/>
    <w:rsid w:val="00840726"/>
    <w:rsid w:val="008475B5"/>
    <w:rsid w:val="00851480"/>
    <w:rsid w:val="00852FAB"/>
    <w:rsid w:val="008550B9"/>
    <w:rsid w:val="00861B34"/>
    <w:rsid w:val="00863320"/>
    <w:rsid w:val="008664B2"/>
    <w:rsid w:val="0087231E"/>
    <w:rsid w:val="008753F1"/>
    <w:rsid w:val="0087569E"/>
    <w:rsid w:val="00875F01"/>
    <w:rsid w:val="00876533"/>
    <w:rsid w:val="00880FDA"/>
    <w:rsid w:val="0088105E"/>
    <w:rsid w:val="00881467"/>
    <w:rsid w:val="0088177A"/>
    <w:rsid w:val="00883390"/>
    <w:rsid w:val="00883D94"/>
    <w:rsid w:val="00885E70"/>
    <w:rsid w:val="00886788"/>
    <w:rsid w:val="00892867"/>
    <w:rsid w:val="00892E3C"/>
    <w:rsid w:val="00894364"/>
    <w:rsid w:val="008955B6"/>
    <w:rsid w:val="008967D0"/>
    <w:rsid w:val="00897CE3"/>
    <w:rsid w:val="008A01A7"/>
    <w:rsid w:val="008A515D"/>
    <w:rsid w:val="008A5D34"/>
    <w:rsid w:val="008B1BA3"/>
    <w:rsid w:val="008C0260"/>
    <w:rsid w:val="008C08C4"/>
    <w:rsid w:val="008C435F"/>
    <w:rsid w:val="008C463A"/>
    <w:rsid w:val="008C4C84"/>
    <w:rsid w:val="008C7970"/>
    <w:rsid w:val="008D0821"/>
    <w:rsid w:val="008D0B7C"/>
    <w:rsid w:val="008D1A96"/>
    <w:rsid w:val="008E0EFF"/>
    <w:rsid w:val="008E3445"/>
    <w:rsid w:val="008E5056"/>
    <w:rsid w:val="008E5AF6"/>
    <w:rsid w:val="008E5F88"/>
    <w:rsid w:val="008E7DB1"/>
    <w:rsid w:val="008F0B7D"/>
    <w:rsid w:val="008F4B92"/>
    <w:rsid w:val="008F679B"/>
    <w:rsid w:val="008F7152"/>
    <w:rsid w:val="00902476"/>
    <w:rsid w:val="009055DD"/>
    <w:rsid w:val="00907245"/>
    <w:rsid w:val="009074B8"/>
    <w:rsid w:val="00910725"/>
    <w:rsid w:val="009144C2"/>
    <w:rsid w:val="0091512E"/>
    <w:rsid w:val="00915836"/>
    <w:rsid w:val="00915D38"/>
    <w:rsid w:val="00916851"/>
    <w:rsid w:val="0092049B"/>
    <w:rsid w:val="00925C40"/>
    <w:rsid w:val="00927C4F"/>
    <w:rsid w:val="009300C3"/>
    <w:rsid w:val="00931654"/>
    <w:rsid w:val="0093179D"/>
    <w:rsid w:val="0093214D"/>
    <w:rsid w:val="00932D5D"/>
    <w:rsid w:val="00933204"/>
    <w:rsid w:val="00933E70"/>
    <w:rsid w:val="0093660E"/>
    <w:rsid w:val="009406DA"/>
    <w:rsid w:val="009413D9"/>
    <w:rsid w:val="00945FE1"/>
    <w:rsid w:val="00946F1A"/>
    <w:rsid w:val="00952B61"/>
    <w:rsid w:val="009600E3"/>
    <w:rsid w:val="00960444"/>
    <w:rsid w:val="00964604"/>
    <w:rsid w:val="009661DF"/>
    <w:rsid w:val="009708C0"/>
    <w:rsid w:val="00971392"/>
    <w:rsid w:val="0097161D"/>
    <w:rsid w:val="0097240D"/>
    <w:rsid w:val="00973D00"/>
    <w:rsid w:val="00973D50"/>
    <w:rsid w:val="009746E9"/>
    <w:rsid w:val="00975CC4"/>
    <w:rsid w:val="00981A00"/>
    <w:rsid w:val="00981EA2"/>
    <w:rsid w:val="00983BD5"/>
    <w:rsid w:val="0098563C"/>
    <w:rsid w:val="00985DA3"/>
    <w:rsid w:val="0098659D"/>
    <w:rsid w:val="009900FF"/>
    <w:rsid w:val="00990C39"/>
    <w:rsid w:val="00990EA4"/>
    <w:rsid w:val="00990EA5"/>
    <w:rsid w:val="00991C40"/>
    <w:rsid w:val="00993632"/>
    <w:rsid w:val="009948A4"/>
    <w:rsid w:val="0099519F"/>
    <w:rsid w:val="009972F8"/>
    <w:rsid w:val="009A2C15"/>
    <w:rsid w:val="009A330A"/>
    <w:rsid w:val="009A749D"/>
    <w:rsid w:val="009A7AF2"/>
    <w:rsid w:val="009B0419"/>
    <w:rsid w:val="009B0576"/>
    <w:rsid w:val="009B2AE5"/>
    <w:rsid w:val="009C07A7"/>
    <w:rsid w:val="009C2028"/>
    <w:rsid w:val="009C2D53"/>
    <w:rsid w:val="009C3BAA"/>
    <w:rsid w:val="009D12DB"/>
    <w:rsid w:val="009D2B11"/>
    <w:rsid w:val="009E04B5"/>
    <w:rsid w:val="009E4400"/>
    <w:rsid w:val="009F1E24"/>
    <w:rsid w:val="009F214F"/>
    <w:rsid w:val="009F28C8"/>
    <w:rsid w:val="009F3440"/>
    <w:rsid w:val="009F482E"/>
    <w:rsid w:val="009F53DE"/>
    <w:rsid w:val="009F6292"/>
    <w:rsid w:val="009F759D"/>
    <w:rsid w:val="00A03101"/>
    <w:rsid w:val="00A031C7"/>
    <w:rsid w:val="00A04698"/>
    <w:rsid w:val="00A068E9"/>
    <w:rsid w:val="00A0752F"/>
    <w:rsid w:val="00A10B48"/>
    <w:rsid w:val="00A10CFF"/>
    <w:rsid w:val="00A1390E"/>
    <w:rsid w:val="00A15577"/>
    <w:rsid w:val="00A15DE5"/>
    <w:rsid w:val="00A21F66"/>
    <w:rsid w:val="00A2214D"/>
    <w:rsid w:val="00A23227"/>
    <w:rsid w:val="00A255FD"/>
    <w:rsid w:val="00A2760A"/>
    <w:rsid w:val="00A3048F"/>
    <w:rsid w:val="00A3236D"/>
    <w:rsid w:val="00A35398"/>
    <w:rsid w:val="00A45C80"/>
    <w:rsid w:val="00A46E2A"/>
    <w:rsid w:val="00A50F7E"/>
    <w:rsid w:val="00A52B4A"/>
    <w:rsid w:val="00A52E41"/>
    <w:rsid w:val="00A64BD6"/>
    <w:rsid w:val="00A67EAB"/>
    <w:rsid w:val="00A70E69"/>
    <w:rsid w:val="00A74029"/>
    <w:rsid w:val="00A77501"/>
    <w:rsid w:val="00A77C57"/>
    <w:rsid w:val="00A827ED"/>
    <w:rsid w:val="00A82CDA"/>
    <w:rsid w:val="00A83657"/>
    <w:rsid w:val="00A83916"/>
    <w:rsid w:val="00A85342"/>
    <w:rsid w:val="00A86304"/>
    <w:rsid w:val="00A86F14"/>
    <w:rsid w:val="00A87095"/>
    <w:rsid w:val="00A90D8D"/>
    <w:rsid w:val="00A91A00"/>
    <w:rsid w:val="00A95313"/>
    <w:rsid w:val="00A976D0"/>
    <w:rsid w:val="00AA3BF0"/>
    <w:rsid w:val="00AA3CF5"/>
    <w:rsid w:val="00AA63E6"/>
    <w:rsid w:val="00AB0BE7"/>
    <w:rsid w:val="00AB14F4"/>
    <w:rsid w:val="00AB4C11"/>
    <w:rsid w:val="00AB7E13"/>
    <w:rsid w:val="00AC1E79"/>
    <w:rsid w:val="00AC402F"/>
    <w:rsid w:val="00AD1118"/>
    <w:rsid w:val="00AD177F"/>
    <w:rsid w:val="00AD32BC"/>
    <w:rsid w:val="00AE1853"/>
    <w:rsid w:val="00AE6CBA"/>
    <w:rsid w:val="00AE7EA6"/>
    <w:rsid w:val="00AE7FC5"/>
    <w:rsid w:val="00AF507F"/>
    <w:rsid w:val="00AF6D6E"/>
    <w:rsid w:val="00AF7586"/>
    <w:rsid w:val="00B00D4B"/>
    <w:rsid w:val="00B01210"/>
    <w:rsid w:val="00B06CBC"/>
    <w:rsid w:val="00B1223C"/>
    <w:rsid w:val="00B154F7"/>
    <w:rsid w:val="00B16458"/>
    <w:rsid w:val="00B16961"/>
    <w:rsid w:val="00B16E61"/>
    <w:rsid w:val="00B21B7C"/>
    <w:rsid w:val="00B24052"/>
    <w:rsid w:val="00B24849"/>
    <w:rsid w:val="00B2699D"/>
    <w:rsid w:val="00B308A6"/>
    <w:rsid w:val="00B30B17"/>
    <w:rsid w:val="00B31CD0"/>
    <w:rsid w:val="00B325AB"/>
    <w:rsid w:val="00B345AA"/>
    <w:rsid w:val="00B34C94"/>
    <w:rsid w:val="00B368D3"/>
    <w:rsid w:val="00B43469"/>
    <w:rsid w:val="00B4710C"/>
    <w:rsid w:val="00B52D69"/>
    <w:rsid w:val="00B52EF9"/>
    <w:rsid w:val="00B5538B"/>
    <w:rsid w:val="00B56AF6"/>
    <w:rsid w:val="00B62271"/>
    <w:rsid w:val="00B65E4B"/>
    <w:rsid w:val="00B72BC5"/>
    <w:rsid w:val="00B72ECA"/>
    <w:rsid w:val="00B83A08"/>
    <w:rsid w:val="00B852A9"/>
    <w:rsid w:val="00B85F2B"/>
    <w:rsid w:val="00B87240"/>
    <w:rsid w:val="00B87706"/>
    <w:rsid w:val="00B91D86"/>
    <w:rsid w:val="00B95C54"/>
    <w:rsid w:val="00B97BFB"/>
    <w:rsid w:val="00BA1323"/>
    <w:rsid w:val="00BA4C87"/>
    <w:rsid w:val="00BA4F36"/>
    <w:rsid w:val="00BC1C0A"/>
    <w:rsid w:val="00BC5A04"/>
    <w:rsid w:val="00BC7A28"/>
    <w:rsid w:val="00BD2207"/>
    <w:rsid w:val="00BD3768"/>
    <w:rsid w:val="00BD3D78"/>
    <w:rsid w:val="00BE6D38"/>
    <w:rsid w:val="00BF0862"/>
    <w:rsid w:val="00BF167D"/>
    <w:rsid w:val="00C06007"/>
    <w:rsid w:val="00C0701B"/>
    <w:rsid w:val="00C1462A"/>
    <w:rsid w:val="00C1677D"/>
    <w:rsid w:val="00C207B3"/>
    <w:rsid w:val="00C21713"/>
    <w:rsid w:val="00C219D2"/>
    <w:rsid w:val="00C25AC9"/>
    <w:rsid w:val="00C268D6"/>
    <w:rsid w:val="00C269B2"/>
    <w:rsid w:val="00C3221F"/>
    <w:rsid w:val="00C3436F"/>
    <w:rsid w:val="00C36CB0"/>
    <w:rsid w:val="00C40F7E"/>
    <w:rsid w:val="00C40FF7"/>
    <w:rsid w:val="00C41C03"/>
    <w:rsid w:val="00C41DAE"/>
    <w:rsid w:val="00C43030"/>
    <w:rsid w:val="00C43E11"/>
    <w:rsid w:val="00C4421D"/>
    <w:rsid w:val="00C474B9"/>
    <w:rsid w:val="00C47C75"/>
    <w:rsid w:val="00C50180"/>
    <w:rsid w:val="00C529A0"/>
    <w:rsid w:val="00C571A0"/>
    <w:rsid w:val="00C61D31"/>
    <w:rsid w:val="00C63A56"/>
    <w:rsid w:val="00C65D3E"/>
    <w:rsid w:val="00C661F5"/>
    <w:rsid w:val="00C70531"/>
    <w:rsid w:val="00C759F9"/>
    <w:rsid w:val="00C7628C"/>
    <w:rsid w:val="00C90373"/>
    <w:rsid w:val="00C90CAE"/>
    <w:rsid w:val="00C90CE0"/>
    <w:rsid w:val="00C90DC8"/>
    <w:rsid w:val="00C94562"/>
    <w:rsid w:val="00CA23CB"/>
    <w:rsid w:val="00CA3FBD"/>
    <w:rsid w:val="00CA5E4B"/>
    <w:rsid w:val="00CA6241"/>
    <w:rsid w:val="00CB0370"/>
    <w:rsid w:val="00CB14A2"/>
    <w:rsid w:val="00CB479D"/>
    <w:rsid w:val="00CB622D"/>
    <w:rsid w:val="00CB6F92"/>
    <w:rsid w:val="00CB717B"/>
    <w:rsid w:val="00CB7D85"/>
    <w:rsid w:val="00CC2C04"/>
    <w:rsid w:val="00CC3994"/>
    <w:rsid w:val="00CC40EB"/>
    <w:rsid w:val="00CD041E"/>
    <w:rsid w:val="00CD1D9C"/>
    <w:rsid w:val="00CD28D4"/>
    <w:rsid w:val="00CD73FB"/>
    <w:rsid w:val="00CD7B4A"/>
    <w:rsid w:val="00CE03A6"/>
    <w:rsid w:val="00CE0F2A"/>
    <w:rsid w:val="00CE5C5E"/>
    <w:rsid w:val="00CF18A0"/>
    <w:rsid w:val="00CF3DFC"/>
    <w:rsid w:val="00CF7586"/>
    <w:rsid w:val="00CF7BB7"/>
    <w:rsid w:val="00D032E9"/>
    <w:rsid w:val="00D042BF"/>
    <w:rsid w:val="00D05816"/>
    <w:rsid w:val="00D10BC5"/>
    <w:rsid w:val="00D10DDE"/>
    <w:rsid w:val="00D148B9"/>
    <w:rsid w:val="00D15035"/>
    <w:rsid w:val="00D16A20"/>
    <w:rsid w:val="00D205A2"/>
    <w:rsid w:val="00D21757"/>
    <w:rsid w:val="00D21C88"/>
    <w:rsid w:val="00D22A0C"/>
    <w:rsid w:val="00D22D73"/>
    <w:rsid w:val="00D30353"/>
    <w:rsid w:val="00D30460"/>
    <w:rsid w:val="00D30884"/>
    <w:rsid w:val="00D329A7"/>
    <w:rsid w:val="00D338D9"/>
    <w:rsid w:val="00D40F7A"/>
    <w:rsid w:val="00D40FD3"/>
    <w:rsid w:val="00D457F8"/>
    <w:rsid w:val="00D46CC5"/>
    <w:rsid w:val="00D516B7"/>
    <w:rsid w:val="00D53FAE"/>
    <w:rsid w:val="00D57BB9"/>
    <w:rsid w:val="00D66164"/>
    <w:rsid w:val="00D66B06"/>
    <w:rsid w:val="00D761A3"/>
    <w:rsid w:val="00D81FCC"/>
    <w:rsid w:val="00D824EF"/>
    <w:rsid w:val="00D829FD"/>
    <w:rsid w:val="00D83DCF"/>
    <w:rsid w:val="00D850BC"/>
    <w:rsid w:val="00D8622B"/>
    <w:rsid w:val="00D867E0"/>
    <w:rsid w:val="00D871BD"/>
    <w:rsid w:val="00DA1EBE"/>
    <w:rsid w:val="00DB1FCD"/>
    <w:rsid w:val="00DB237D"/>
    <w:rsid w:val="00DB2F73"/>
    <w:rsid w:val="00DB61A7"/>
    <w:rsid w:val="00DB62C9"/>
    <w:rsid w:val="00DB7D65"/>
    <w:rsid w:val="00DC0A81"/>
    <w:rsid w:val="00DC0A92"/>
    <w:rsid w:val="00DD4425"/>
    <w:rsid w:val="00DD4F3A"/>
    <w:rsid w:val="00DE2AE2"/>
    <w:rsid w:val="00DE30C1"/>
    <w:rsid w:val="00DE3E36"/>
    <w:rsid w:val="00DE44EF"/>
    <w:rsid w:val="00DE67AB"/>
    <w:rsid w:val="00DE767B"/>
    <w:rsid w:val="00DE7857"/>
    <w:rsid w:val="00DF1CA1"/>
    <w:rsid w:val="00DF2B69"/>
    <w:rsid w:val="00DF4AC5"/>
    <w:rsid w:val="00DF4D82"/>
    <w:rsid w:val="00E01745"/>
    <w:rsid w:val="00E04E07"/>
    <w:rsid w:val="00E11224"/>
    <w:rsid w:val="00E13DC8"/>
    <w:rsid w:val="00E21D90"/>
    <w:rsid w:val="00E229E2"/>
    <w:rsid w:val="00E256D7"/>
    <w:rsid w:val="00E27F7F"/>
    <w:rsid w:val="00E30C6F"/>
    <w:rsid w:val="00E31706"/>
    <w:rsid w:val="00E33F3A"/>
    <w:rsid w:val="00E34FEF"/>
    <w:rsid w:val="00E36A10"/>
    <w:rsid w:val="00E41112"/>
    <w:rsid w:val="00E41A72"/>
    <w:rsid w:val="00E42038"/>
    <w:rsid w:val="00E470A2"/>
    <w:rsid w:val="00E50653"/>
    <w:rsid w:val="00E512D3"/>
    <w:rsid w:val="00E51405"/>
    <w:rsid w:val="00E54342"/>
    <w:rsid w:val="00E54457"/>
    <w:rsid w:val="00E56714"/>
    <w:rsid w:val="00E60A6E"/>
    <w:rsid w:val="00E620E2"/>
    <w:rsid w:val="00E63058"/>
    <w:rsid w:val="00E63110"/>
    <w:rsid w:val="00E73CB2"/>
    <w:rsid w:val="00E763F7"/>
    <w:rsid w:val="00E779D2"/>
    <w:rsid w:val="00E83C33"/>
    <w:rsid w:val="00E86CEE"/>
    <w:rsid w:val="00E86D8F"/>
    <w:rsid w:val="00E9586D"/>
    <w:rsid w:val="00E95A20"/>
    <w:rsid w:val="00E976EB"/>
    <w:rsid w:val="00EA37F2"/>
    <w:rsid w:val="00EB5D02"/>
    <w:rsid w:val="00EC097F"/>
    <w:rsid w:val="00EC115A"/>
    <w:rsid w:val="00EC4B14"/>
    <w:rsid w:val="00EC4CF8"/>
    <w:rsid w:val="00EC53E5"/>
    <w:rsid w:val="00EC60B7"/>
    <w:rsid w:val="00ED1849"/>
    <w:rsid w:val="00ED1C1A"/>
    <w:rsid w:val="00ED3A69"/>
    <w:rsid w:val="00ED4037"/>
    <w:rsid w:val="00ED5DC6"/>
    <w:rsid w:val="00ED692B"/>
    <w:rsid w:val="00EE3B9C"/>
    <w:rsid w:val="00EE5455"/>
    <w:rsid w:val="00EE55C8"/>
    <w:rsid w:val="00EE71A2"/>
    <w:rsid w:val="00EF19EB"/>
    <w:rsid w:val="00EF24C6"/>
    <w:rsid w:val="00EF40D7"/>
    <w:rsid w:val="00EF48D4"/>
    <w:rsid w:val="00F07B13"/>
    <w:rsid w:val="00F10669"/>
    <w:rsid w:val="00F11F4E"/>
    <w:rsid w:val="00F12FF5"/>
    <w:rsid w:val="00F133BA"/>
    <w:rsid w:val="00F1348C"/>
    <w:rsid w:val="00F17357"/>
    <w:rsid w:val="00F2004E"/>
    <w:rsid w:val="00F22F55"/>
    <w:rsid w:val="00F23A8D"/>
    <w:rsid w:val="00F23E13"/>
    <w:rsid w:val="00F33569"/>
    <w:rsid w:val="00F347B6"/>
    <w:rsid w:val="00F34CEA"/>
    <w:rsid w:val="00F36ACA"/>
    <w:rsid w:val="00F406E7"/>
    <w:rsid w:val="00F411F4"/>
    <w:rsid w:val="00F41C82"/>
    <w:rsid w:val="00F426D6"/>
    <w:rsid w:val="00F42BAA"/>
    <w:rsid w:val="00F438AB"/>
    <w:rsid w:val="00F43BFB"/>
    <w:rsid w:val="00F44EE0"/>
    <w:rsid w:val="00F46E00"/>
    <w:rsid w:val="00F54512"/>
    <w:rsid w:val="00F56119"/>
    <w:rsid w:val="00F57504"/>
    <w:rsid w:val="00F61C24"/>
    <w:rsid w:val="00F653DD"/>
    <w:rsid w:val="00F7064B"/>
    <w:rsid w:val="00F721DB"/>
    <w:rsid w:val="00F75339"/>
    <w:rsid w:val="00F774CF"/>
    <w:rsid w:val="00F82996"/>
    <w:rsid w:val="00F84120"/>
    <w:rsid w:val="00F85400"/>
    <w:rsid w:val="00F87CA6"/>
    <w:rsid w:val="00F91070"/>
    <w:rsid w:val="00F97384"/>
    <w:rsid w:val="00F97FE9"/>
    <w:rsid w:val="00FA0D8E"/>
    <w:rsid w:val="00FA2FF2"/>
    <w:rsid w:val="00FB2748"/>
    <w:rsid w:val="00FB32E8"/>
    <w:rsid w:val="00FC3505"/>
    <w:rsid w:val="00FC496C"/>
    <w:rsid w:val="00FC4A88"/>
    <w:rsid w:val="00FC5A99"/>
    <w:rsid w:val="00FC74FC"/>
    <w:rsid w:val="00FD03E8"/>
    <w:rsid w:val="00FD16DC"/>
    <w:rsid w:val="00FD3949"/>
    <w:rsid w:val="00FD3986"/>
    <w:rsid w:val="00FD6B05"/>
    <w:rsid w:val="00FE1AC8"/>
    <w:rsid w:val="00FE4608"/>
    <w:rsid w:val="00FE74B0"/>
    <w:rsid w:val="00FE7E3E"/>
    <w:rsid w:val="00FF0D5F"/>
    <w:rsid w:val="00FF1A89"/>
    <w:rsid w:val="00FF41AC"/>
    <w:rsid w:val="00FF56B7"/>
    <w:rsid w:val="00FF686F"/>
    <w:rsid w:val="3F7D2DC7"/>
    <w:rsid w:val="6680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A82"/>
  <w15:chartTrackingRefBased/>
  <w15:docId w15:val="{D0B850AC-CB19-4071-9C3C-E1DF27D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1F"/>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22"/>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10"/>
    <w:qFormat/>
    <w:rsid w:val="00902476"/>
    <w:pPr>
      <w:numPr>
        <w:numId w:val="1"/>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43611F"/>
    <w:pPr>
      <w:tabs>
        <w:tab w:val="center" w:pos="4320"/>
        <w:tab w:val="right" w:pos="8640"/>
      </w:tabs>
      <w:spacing w:after="0"/>
    </w:pPr>
  </w:style>
  <w:style w:type="character" w:customStyle="1" w:styleId="HeaderChar">
    <w:name w:val="Header Char"/>
    <w:basedOn w:val="DefaultParagraphFont"/>
    <w:link w:val="Header"/>
    <w:uiPriority w:val="99"/>
    <w:rsid w:val="0043611F"/>
    <w:rPr>
      <w:rFonts w:ascii="Arial" w:eastAsia="Cambria" w:hAnsi="Arial" w:cs="Times New Roman"/>
      <w:color w:val="auto"/>
      <w:kern w:val="24"/>
      <w:sz w:val="24"/>
      <w:szCs w:val="24"/>
      <w:lang w:val="en-US"/>
    </w:rPr>
  </w:style>
  <w:style w:type="character" w:styleId="Hyperlink">
    <w:name w:val="Hyperlink"/>
    <w:uiPriority w:val="99"/>
    <w:unhideWhenUsed/>
    <w:rsid w:val="0043611F"/>
    <w:rPr>
      <w:color w:val="000000"/>
      <w:u w:val="single"/>
    </w:rPr>
  </w:style>
  <w:style w:type="paragraph" w:styleId="TOC2">
    <w:name w:val="toc 2"/>
    <w:basedOn w:val="Normal"/>
    <w:next w:val="Normal"/>
    <w:autoRedefine/>
    <w:uiPriority w:val="39"/>
    <w:unhideWhenUsed/>
    <w:rsid w:val="005318B2"/>
    <w:pPr>
      <w:tabs>
        <w:tab w:val="right" w:leader="dot" w:pos="9339"/>
      </w:tabs>
      <w:spacing w:after="0"/>
      <w:ind w:left="240"/>
    </w:pPr>
    <w:rPr>
      <w:rFonts w:asciiTheme="minorHAnsi" w:hAnsiTheme="minorHAnsi" w:cstheme="minorHAnsi"/>
      <w:smallCaps/>
      <w:noProof/>
      <w:u w:val="single"/>
      <w:lang w:val="en-AU"/>
    </w:rPr>
  </w:style>
  <w:style w:type="paragraph" w:customStyle="1" w:styleId="has-text-color">
    <w:name w:val="has-text-color"/>
    <w:basedOn w:val="Normal"/>
    <w:rsid w:val="00ED692B"/>
    <w:pPr>
      <w:spacing w:before="100" w:beforeAutospacing="1" w:after="100" w:afterAutospacing="1" w:line="240" w:lineRule="auto"/>
    </w:pPr>
    <w:rPr>
      <w:rFonts w:ascii="Times New Roman" w:eastAsia="Times New Roman" w:hAnsi="Times New Roman"/>
      <w:kern w:val="0"/>
      <w:lang w:val="en-AU" w:eastAsia="en-AU"/>
    </w:rPr>
  </w:style>
  <w:style w:type="paragraph" w:styleId="NormalWeb">
    <w:name w:val="Normal (Web)"/>
    <w:basedOn w:val="Normal"/>
    <w:uiPriority w:val="99"/>
    <w:unhideWhenUsed/>
    <w:rsid w:val="00ED692B"/>
    <w:pPr>
      <w:spacing w:before="100" w:beforeAutospacing="1" w:after="100" w:afterAutospacing="1" w:line="240" w:lineRule="auto"/>
    </w:pPr>
    <w:rPr>
      <w:rFonts w:ascii="Times New Roman" w:eastAsia="Times New Roman" w:hAnsi="Times New Roman"/>
      <w:kern w:val="0"/>
      <w:lang w:val="en-AU" w:eastAsia="en-AU"/>
    </w:rPr>
  </w:style>
  <w:style w:type="character" w:styleId="UnresolvedMention">
    <w:name w:val="Unresolved Mention"/>
    <w:basedOn w:val="DefaultParagraphFont"/>
    <w:uiPriority w:val="99"/>
    <w:semiHidden/>
    <w:unhideWhenUsed/>
    <w:rsid w:val="007D0A0C"/>
    <w:rPr>
      <w:color w:val="605E5C"/>
      <w:shd w:val="clear" w:color="auto" w:fill="E1DFDD"/>
    </w:rPr>
  </w:style>
  <w:style w:type="paragraph" w:styleId="FootnoteText">
    <w:name w:val="footnote text"/>
    <w:basedOn w:val="Normal"/>
    <w:link w:val="FootnoteTextChar"/>
    <w:uiPriority w:val="99"/>
    <w:semiHidden/>
    <w:unhideWhenUsed/>
    <w:rsid w:val="002E2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4F"/>
    <w:rPr>
      <w:rFonts w:ascii="Arial" w:eastAsia="Cambria" w:hAnsi="Arial" w:cs="Times New Roman"/>
      <w:color w:val="auto"/>
      <w:kern w:val="24"/>
      <w:sz w:val="20"/>
      <w:szCs w:val="20"/>
      <w:lang w:val="en-US"/>
    </w:rPr>
  </w:style>
  <w:style w:type="character" w:styleId="FootnoteReference">
    <w:name w:val="footnote reference"/>
    <w:basedOn w:val="DefaultParagraphFont"/>
    <w:uiPriority w:val="99"/>
    <w:semiHidden/>
    <w:unhideWhenUsed/>
    <w:rsid w:val="002E2B4F"/>
    <w:rPr>
      <w:vertAlign w:val="superscript"/>
    </w:rPr>
  </w:style>
  <w:style w:type="paragraph" w:customStyle="1" w:styleId="HeadingNew">
    <w:name w:val="Heading New"/>
    <w:basedOn w:val="Normal"/>
    <w:next w:val="Normal"/>
    <w:qFormat/>
    <w:rsid w:val="00FB32E8"/>
    <w:pPr>
      <w:pageBreakBefore/>
    </w:pPr>
    <w:rPr>
      <w:rFonts w:ascii="Calibri Light" w:hAnsi="Calibri Light"/>
      <w:b/>
      <w:color w:val="006666"/>
      <w:sz w:val="44"/>
    </w:rPr>
  </w:style>
  <w:style w:type="character" w:styleId="FollowedHyperlink">
    <w:name w:val="FollowedHyperlink"/>
    <w:basedOn w:val="DefaultParagraphFont"/>
    <w:uiPriority w:val="99"/>
    <w:semiHidden/>
    <w:unhideWhenUsed/>
    <w:rsid w:val="002941B1"/>
    <w:rPr>
      <w:color w:val="FBB040" w:themeColor="followedHyperlink"/>
      <w:u w:val="single"/>
    </w:rPr>
  </w:style>
  <w:style w:type="paragraph" w:customStyle="1" w:styleId="p">
    <w:name w:val="p"/>
    <w:basedOn w:val="Normal"/>
    <w:rsid w:val="004D7C04"/>
    <w:pPr>
      <w:spacing w:before="100" w:beforeAutospacing="1" w:after="100" w:afterAutospacing="1" w:line="240" w:lineRule="auto"/>
    </w:pPr>
    <w:rPr>
      <w:rFonts w:ascii="Times New Roman" w:eastAsia="Times New Roman" w:hAnsi="Times New Roman"/>
      <w:kern w:val="0"/>
      <w:lang w:val="en-AU" w:eastAsia="en-AU"/>
    </w:rPr>
  </w:style>
  <w:style w:type="paragraph" w:customStyle="1" w:styleId="39n3n">
    <w:name w:val="_39n3n"/>
    <w:basedOn w:val="Normal"/>
    <w:rsid w:val="008C7970"/>
    <w:pPr>
      <w:spacing w:before="100" w:beforeAutospacing="1" w:after="100" w:afterAutospacing="1" w:line="240" w:lineRule="auto"/>
    </w:pPr>
    <w:rPr>
      <w:rFonts w:ascii="Times New Roman" w:eastAsia="Times New Roman" w:hAnsi="Times New Roman"/>
      <w:kern w:val="0"/>
      <w:lang w:val="en-AU" w:eastAsia="en-AU"/>
    </w:rPr>
  </w:style>
  <w:style w:type="numbering" w:customStyle="1" w:styleId="CurrentList1">
    <w:name w:val="Current List1"/>
    <w:uiPriority w:val="99"/>
    <w:rsid w:val="00991C40"/>
    <w:pPr>
      <w:numPr>
        <w:numId w:val="4"/>
      </w:numPr>
    </w:pPr>
  </w:style>
  <w:style w:type="numbering" w:customStyle="1" w:styleId="CurrentList2">
    <w:name w:val="Current List2"/>
    <w:uiPriority w:val="99"/>
    <w:rsid w:val="00CB479D"/>
    <w:pPr>
      <w:numPr>
        <w:numId w:val="5"/>
      </w:numPr>
    </w:pPr>
  </w:style>
  <w:style w:type="paragraph" w:customStyle="1" w:styleId="OutcomeOutcomeSection">
    <w:name w:val="Outcome (Outcome Section)"/>
    <w:basedOn w:val="Normal"/>
    <w:uiPriority w:val="99"/>
    <w:rsid w:val="0069298B"/>
    <w:pPr>
      <w:suppressAutoHyphens/>
      <w:autoSpaceDE w:val="0"/>
      <w:autoSpaceDN w:val="0"/>
      <w:adjustRightInd w:val="0"/>
      <w:spacing w:before="57" w:after="113" w:line="360" w:lineRule="atLeast"/>
      <w:ind w:left="283"/>
      <w:textAlignment w:val="center"/>
    </w:pPr>
    <w:rPr>
      <w:rFonts w:ascii="Filson Pro Medium" w:eastAsiaTheme="minorHAnsi" w:hAnsi="Filson Pro Medium" w:cs="Filson Pro Medium"/>
      <w:color w:val="FFFFFF"/>
      <w:kern w:val="0"/>
      <w:sz w:val="28"/>
      <w:szCs w:val="28"/>
    </w:rPr>
  </w:style>
  <w:style w:type="paragraph" w:styleId="ListBullet">
    <w:name w:val="List Bullet"/>
    <w:basedOn w:val="Normal"/>
    <w:uiPriority w:val="99"/>
    <w:unhideWhenUsed/>
    <w:rsid w:val="0069298B"/>
    <w:pPr>
      <w:numPr>
        <w:numId w:val="19"/>
      </w:numPr>
      <w:contextualSpacing/>
    </w:pPr>
    <w:rPr>
      <w:rFonts w:ascii="Calibri Light" w:eastAsiaTheme="minorHAnsi" w:hAnsi="Calibri Light" w:cstheme="minorBidi"/>
      <w:color w:val="3B3B3B"/>
      <w:kern w:val="0"/>
      <w:sz w:val="22"/>
      <w:szCs w:val="22"/>
      <w:lang w:val="en-GB"/>
    </w:rPr>
  </w:style>
  <w:style w:type="paragraph" w:styleId="EndnoteText">
    <w:name w:val="endnote text"/>
    <w:basedOn w:val="Normal"/>
    <w:link w:val="EndnoteTextChar"/>
    <w:uiPriority w:val="99"/>
    <w:unhideWhenUsed/>
    <w:rsid w:val="00330542"/>
    <w:pPr>
      <w:spacing w:after="0" w:line="240" w:lineRule="auto"/>
    </w:pPr>
    <w:rPr>
      <w:rFonts w:ascii="Calibri Light" w:eastAsiaTheme="minorHAnsi" w:hAnsi="Calibri Light" w:cstheme="minorBidi"/>
      <w:color w:val="3B3B3B"/>
      <w:kern w:val="0"/>
      <w:sz w:val="20"/>
      <w:szCs w:val="20"/>
      <w:lang w:val="en-GB"/>
    </w:rPr>
  </w:style>
  <w:style w:type="character" w:customStyle="1" w:styleId="EndnoteTextChar">
    <w:name w:val="Endnote Text Char"/>
    <w:basedOn w:val="DefaultParagraphFont"/>
    <w:link w:val="EndnoteText"/>
    <w:uiPriority w:val="99"/>
    <w:rsid w:val="00330542"/>
    <w:rPr>
      <w:sz w:val="20"/>
      <w:szCs w:val="20"/>
    </w:rPr>
  </w:style>
  <w:style w:type="character" w:styleId="EndnoteReference">
    <w:name w:val="endnote reference"/>
    <w:basedOn w:val="DefaultParagraphFont"/>
    <w:uiPriority w:val="99"/>
    <w:semiHidden/>
    <w:unhideWhenUsed/>
    <w:rsid w:val="00330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960">
      <w:bodyDiv w:val="1"/>
      <w:marLeft w:val="0"/>
      <w:marRight w:val="0"/>
      <w:marTop w:val="0"/>
      <w:marBottom w:val="0"/>
      <w:divBdr>
        <w:top w:val="none" w:sz="0" w:space="0" w:color="auto"/>
        <w:left w:val="none" w:sz="0" w:space="0" w:color="auto"/>
        <w:bottom w:val="none" w:sz="0" w:space="0" w:color="auto"/>
        <w:right w:val="none" w:sz="0" w:space="0" w:color="auto"/>
      </w:divBdr>
    </w:div>
    <w:div w:id="140781555">
      <w:bodyDiv w:val="1"/>
      <w:marLeft w:val="0"/>
      <w:marRight w:val="0"/>
      <w:marTop w:val="0"/>
      <w:marBottom w:val="0"/>
      <w:divBdr>
        <w:top w:val="none" w:sz="0" w:space="0" w:color="auto"/>
        <w:left w:val="none" w:sz="0" w:space="0" w:color="auto"/>
        <w:bottom w:val="none" w:sz="0" w:space="0" w:color="auto"/>
        <w:right w:val="none" w:sz="0" w:space="0" w:color="auto"/>
      </w:divBdr>
    </w:div>
    <w:div w:id="220989680">
      <w:bodyDiv w:val="1"/>
      <w:marLeft w:val="0"/>
      <w:marRight w:val="0"/>
      <w:marTop w:val="0"/>
      <w:marBottom w:val="0"/>
      <w:divBdr>
        <w:top w:val="none" w:sz="0" w:space="0" w:color="auto"/>
        <w:left w:val="none" w:sz="0" w:space="0" w:color="auto"/>
        <w:bottom w:val="none" w:sz="0" w:space="0" w:color="auto"/>
        <w:right w:val="none" w:sz="0" w:space="0" w:color="auto"/>
      </w:divBdr>
    </w:div>
    <w:div w:id="488903641">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930965949">
      <w:bodyDiv w:val="1"/>
      <w:marLeft w:val="0"/>
      <w:marRight w:val="0"/>
      <w:marTop w:val="0"/>
      <w:marBottom w:val="0"/>
      <w:divBdr>
        <w:top w:val="none" w:sz="0" w:space="0" w:color="auto"/>
        <w:left w:val="none" w:sz="0" w:space="0" w:color="auto"/>
        <w:bottom w:val="none" w:sz="0" w:space="0" w:color="auto"/>
        <w:right w:val="none" w:sz="0" w:space="0" w:color="auto"/>
      </w:divBdr>
    </w:div>
    <w:div w:id="1199588594">
      <w:bodyDiv w:val="1"/>
      <w:marLeft w:val="0"/>
      <w:marRight w:val="0"/>
      <w:marTop w:val="0"/>
      <w:marBottom w:val="0"/>
      <w:divBdr>
        <w:top w:val="none" w:sz="0" w:space="0" w:color="auto"/>
        <w:left w:val="none" w:sz="0" w:space="0" w:color="auto"/>
        <w:bottom w:val="none" w:sz="0" w:space="0" w:color="auto"/>
        <w:right w:val="none" w:sz="0" w:space="0" w:color="auto"/>
      </w:divBdr>
    </w:div>
    <w:div w:id="1252395326">
      <w:bodyDiv w:val="1"/>
      <w:marLeft w:val="0"/>
      <w:marRight w:val="0"/>
      <w:marTop w:val="0"/>
      <w:marBottom w:val="0"/>
      <w:divBdr>
        <w:top w:val="none" w:sz="0" w:space="0" w:color="auto"/>
        <w:left w:val="none" w:sz="0" w:space="0" w:color="auto"/>
        <w:bottom w:val="none" w:sz="0" w:space="0" w:color="auto"/>
        <w:right w:val="none" w:sz="0" w:space="0" w:color="auto"/>
      </w:divBdr>
    </w:div>
    <w:div w:id="1476021296">
      <w:bodyDiv w:val="1"/>
      <w:marLeft w:val="0"/>
      <w:marRight w:val="0"/>
      <w:marTop w:val="0"/>
      <w:marBottom w:val="0"/>
      <w:divBdr>
        <w:top w:val="none" w:sz="0" w:space="0" w:color="auto"/>
        <w:left w:val="none" w:sz="0" w:space="0" w:color="auto"/>
        <w:bottom w:val="none" w:sz="0" w:space="0" w:color="auto"/>
        <w:right w:val="none" w:sz="0" w:space="0" w:color="auto"/>
      </w:divBdr>
    </w:div>
    <w:div w:id="1550533275">
      <w:bodyDiv w:val="1"/>
      <w:marLeft w:val="0"/>
      <w:marRight w:val="0"/>
      <w:marTop w:val="0"/>
      <w:marBottom w:val="0"/>
      <w:divBdr>
        <w:top w:val="none" w:sz="0" w:space="0" w:color="auto"/>
        <w:left w:val="none" w:sz="0" w:space="0" w:color="auto"/>
        <w:bottom w:val="none" w:sz="0" w:space="0" w:color="auto"/>
        <w:right w:val="none" w:sz="0" w:space="0" w:color="auto"/>
      </w:divBdr>
    </w:div>
    <w:div w:id="1556967784">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1637295681">
      <w:bodyDiv w:val="1"/>
      <w:marLeft w:val="0"/>
      <w:marRight w:val="0"/>
      <w:marTop w:val="0"/>
      <w:marBottom w:val="0"/>
      <w:divBdr>
        <w:top w:val="none" w:sz="0" w:space="0" w:color="auto"/>
        <w:left w:val="none" w:sz="0" w:space="0" w:color="auto"/>
        <w:bottom w:val="none" w:sz="0" w:space="0" w:color="auto"/>
        <w:right w:val="none" w:sz="0" w:space="0" w:color="auto"/>
      </w:divBdr>
    </w:div>
    <w:div w:id="1877037693">
      <w:bodyDiv w:val="1"/>
      <w:marLeft w:val="0"/>
      <w:marRight w:val="0"/>
      <w:marTop w:val="0"/>
      <w:marBottom w:val="0"/>
      <w:divBdr>
        <w:top w:val="none" w:sz="0" w:space="0" w:color="auto"/>
        <w:left w:val="none" w:sz="0" w:space="0" w:color="auto"/>
        <w:bottom w:val="none" w:sz="0" w:space="0" w:color="auto"/>
        <w:right w:val="none" w:sz="0" w:space="0" w:color="auto"/>
      </w:divBdr>
    </w:div>
    <w:div w:id="1891964331">
      <w:bodyDiv w:val="1"/>
      <w:marLeft w:val="0"/>
      <w:marRight w:val="0"/>
      <w:marTop w:val="0"/>
      <w:marBottom w:val="0"/>
      <w:divBdr>
        <w:top w:val="none" w:sz="0" w:space="0" w:color="auto"/>
        <w:left w:val="none" w:sz="0" w:space="0" w:color="auto"/>
        <w:bottom w:val="none" w:sz="0" w:space="0" w:color="auto"/>
        <w:right w:val="none" w:sz="0" w:space="0" w:color="auto"/>
      </w:divBdr>
    </w:div>
    <w:div w:id="19206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auren.henley@afdo.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edia.accessiblecms.com.au/uploads/opan/2022/11/OPAN-Position-Statement_Supported-decision-makingNov22.pd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20C6EE8B53FB4D9B0E416044FA9843" ma:contentTypeVersion="7" ma:contentTypeDescription="Create a new document." ma:contentTypeScope="" ma:versionID="450e9df617ca02f2c67c5f779ef4aef0">
  <xsd:schema xmlns:xsd="http://www.w3.org/2001/XMLSchema" xmlns:xs="http://www.w3.org/2001/XMLSchema" xmlns:p="http://schemas.microsoft.com/office/2006/metadata/properties" xmlns:ns2="402dcb20-92b8-4e0a-9076-44b94a4a7056" xmlns:ns3="ab55b9db-84fd-464a-b47c-8dbec3bb94bb" targetNamespace="http://schemas.microsoft.com/office/2006/metadata/properties" ma:root="true" ma:fieldsID="1585aad1353d2eb808481e2117803963" ns2:_="" ns3:_="">
    <xsd:import namespace="402dcb20-92b8-4e0a-9076-44b94a4a7056"/>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dcb20-92b8-4e0a-9076-44b94a4a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F37DC-C686-4DC6-A4BC-91F1CD8B7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F1023-B7DC-4A9C-8524-2D1AE4CF3464}">
  <ds:schemaRefs>
    <ds:schemaRef ds:uri="http://schemas.openxmlformats.org/officeDocument/2006/bibliography"/>
  </ds:schemaRefs>
</ds:datastoreItem>
</file>

<file path=customXml/itemProps3.xml><?xml version="1.0" encoding="utf-8"?>
<ds:datastoreItem xmlns:ds="http://schemas.openxmlformats.org/officeDocument/2006/customXml" ds:itemID="{D8540233-689B-4636-B11A-3CD88B281BDF}">
  <ds:schemaRefs>
    <ds:schemaRef ds:uri="http://schemas.microsoft.com/sharepoint/v3/contenttype/forms"/>
  </ds:schemaRefs>
</ds:datastoreItem>
</file>

<file path=customXml/itemProps4.xml><?xml version="1.0" encoding="utf-8"?>
<ds:datastoreItem xmlns:ds="http://schemas.openxmlformats.org/officeDocument/2006/customXml" ds:itemID="{49E13245-C205-44AF-95C9-0806058E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dcb20-92b8-4e0a-9076-44b94a4a7056"/>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29432</CharactersWithSpaces>
  <SharedDoc>false</SharedDoc>
  <HLinks>
    <vt:vector size="48" baseType="variant">
      <vt:variant>
        <vt:i4>5439499</vt:i4>
      </vt:variant>
      <vt:variant>
        <vt:i4>30</vt:i4>
      </vt:variant>
      <vt:variant>
        <vt:i4>0</vt:i4>
      </vt:variant>
      <vt:variant>
        <vt:i4>5</vt:i4>
      </vt:variant>
      <vt:variant>
        <vt:lpwstr>https://www.abc.net.au/news/2022-06-25/long-covid-clinic-st-vincents-cognitive-decline/101178450</vt:lpwstr>
      </vt:variant>
      <vt:variant>
        <vt:lpwstr/>
      </vt:variant>
      <vt:variant>
        <vt:i4>5570643</vt:i4>
      </vt:variant>
      <vt:variant>
        <vt:i4>27</vt:i4>
      </vt:variant>
      <vt:variant>
        <vt:i4>0</vt:i4>
      </vt:variant>
      <vt:variant>
        <vt:i4>5</vt:i4>
      </vt:variant>
      <vt:variant>
        <vt:lpwstr>https://doi.org/10.1016/j.lanwpc.2021.100193</vt:lpwstr>
      </vt:variant>
      <vt:variant>
        <vt:lpwstr/>
      </vt:variant>
      <vt:variant>
        <vt:i4>1310811</vt:i4>
      </vt:variant>
      <vt:variant>
        <vt:i4>24</vt:i4>
      </vt:variant>
      <vt:variant>
        <vt:i4>0</vt:i4>
      </vt:variant>
      <vt:variant>
        <vt:i4>5</vt:i4>
      </vt:variant>
      <vt:variant>
        <vt:lpwstr>http://dx.doi.org/10.15585/mmwr.mm7121e1</vt:lpwstr>
      </vt:variant>
      <vt:variant>
        <vt:lpwstr/>
      </vt:variant>
      <vt:variant>
        <vt:i4>6815806</vt:i4>
      </vt:variant>
      <vt:variant>
        <vt:i4>21</vt:i4>
      </vt:variant>
      <vt:variant>
        <vt:i4>0</vt:i4>
      </vt:variant>
      <vt:variant>
        <vt:i4>5</vt:i4>
      </vt:variant>
      <vt:variant>
        <vt:lpwstr>https://doi.org/10.1186/s12889-022-13169-x</vt:lpwstr>
      </vt:variant>
      <vt:variant>
        <vt:lpwstr/>
      </vt:variant>
      <vt:variant>
        <vt:i4>2752563</vt:i4>
      </vt:variant>
      <vt:variant>
        <vt:i4>18</vt:i4>
      </vt:variant>
      <vt:variant>
        <vt:i4>0</vt:i4>
      </vt:variant>
      <vt:variant>
        <vt:i4>5</vt:i4>
      </vt:variant>
      <vt:variant>
        <vt:lpwstr>https://doi.org/10.1038/s41591-022-01840-0</vt:lpwstr>
      </vt:variant>
      <vt:variant>
        <vt:lpwstr/>
      </vt:variant>
      <vt:variant>
        <vt:i4>2490372</vt:i4>
      </vt:variant>
      <vt:variant>
        <vt:i4>14</vt:i4>
      </vt:variant>
      <vt:variant>
        <vt:i4>0</vt:i4>
      </vt:variant>
      <vt:variant>
        <vt:i4>5</vt:i4>
      </vt:variant>
      <vt:variant>
        <vt:lpwstr/>
      </vt:variant>
      <vt:variant>
        <vt:lpwstr>_Toc2206650</vt:lpwstr>
      </vt:variant>
      <vt:variant>
        <vt:i4>2555908</vt:i4>
      </vt:variant>
      <vt:variant>
        <vt:i4>8</vt:i4>
      </vt:variant>
      <vt:variant>
        <vt:i4>0</vt:i4>
      </vt:variant>
      <vt:variant>
        <vt:i4>5</vt:i4>
      </vt:variant>
      <vt:variant>
        <vt:lpwstr/>
      </vt:variant>
      <vt:variant>
        <vt:lpwstr>_Toc2206649</vt:lpwstr>
      </vt:variant>
      <vt:variant>
        <vt:i4>2555908</vt:i4>
      </vt:variant>
      <vt:variant>
        <vt:i4>2</vt:i4>
      </vt:variant>
      <vt:variant>
        <vt:i4>0</vt:i4>
      </vt:variant>
      <vt:variant>
        <vt:i4>5</vt:i4>
      </vt:variant>
      <vt:variant>
        <vt:lpwstr/>
      </vt:variant>
      <vt:variant>
        <vt:lpwstr>_Toc2206648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dc:description/>
  <cp:lastModifiedBy>Amy Simmons</cp:lastModifiedBy>
  <cp:revision>3</cp:revision>
  <cp:lastPrinted>2023-08-01T01:01:00Z</cp:lastPrinted>
  <dcterms:created xsi:type="dcterms:W3CDTF">2023-08-01T01:01:00Z</dcterms:created>
  <dcterms:modified xsi:type="dcterms:W3CDTF">2023-08-01T01:02:00Z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0x0101007320C6EE8B53FB4D9B0E416044FA9843</vt:lpwstr>
  </property>
</Properties>
</file>