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CFE0" w14:textId="77777777" w:rsidR="0043611F" w:rsidRPr="00D24885" w:rsidRDefault="0043611F" w:rsidP="0043611F">
      <w:pPr>
        <w:jc w:val="center"/>
        <w:rPr>
          <w:rFonts w:asciiTheme="minorHAnsi" w:eastAsia="Times New Roman" w:hAnsiTheme="minorHAnsi" w:cstheme="minorHAnsi"/>
          <w:b/>
          <w:bCs/>
          <w:color w:val="00767F"/>
          <w:kern w:val="28"/>
          <w:sz w:val="44"/>
          <w:szCs w:val="32"/>
          <w:lang w:val="en-AU"/>
        </w:rPr>
      </w:pPr>
      <w:r w:rsidRPr="00D24885">
        <w:rPr>
          <w:rFonts w:asciiTheme="minorHAnsi" w:eastAsia="Times New Roman" w:hAnsiTheme="minorHAnsi" w:cstheme="minorHAnsi"/>
          <w:b/>
          <w:bCs/>
          <w:noProof/>
          <w:color w:val="00767F"/>
          <w:kern w:val="28"/>
          <w:sz w:val="44"/>
          <w:szCs w:val="32"/>
          <w:lang w:val="en-AU" w:eastAsia="en-AU"/>
        </w:rPr>
        <w:drawing>
          <wp:inline distT="0" distB="0" distL="0" distR="0" wp14:anchorId="441B85A5" wp14:editId="6EE2ECA5">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6DE17B98" w14:textId="2678C964" w:rsidR="0043611F" w:rsidRPr="00D24885" w:rsidRDefault="0043611F" w:rsidP="0043611F">
      <w:pPr>
        <w:jc w:val="center"/>
        <w:rPr>
          <w:rFonts w:asciiTheme="minorHAnsi" w:eastAsia="Times New Roman" w:hAnsiTheme="minorHAnsi" w:cstheme="minorHAnsi"/>
          <w:kern w:val="28"/>
          <w:sz w:val="44"/>
          <w:szCs w:val="32"/>
          <w:lang w:val="en-AU"/>
        </w:rPr>
      </w:pPr>
    </w:p>
    <w:p w14:paraId="6850C019" w14:textId="018CFC0D" w:rsidR="0010484D" w:rsidRPr="00D24885" w:rsidRDefault="0010484D" w:rsidP="0043611F">
      <w:pPr>
        <w:jc w:val="center"/>
        <w:rPr>
          <w:rFonts w:asciiTheme="minorHAnsi" w:eastAsia="Times New Roman" w:hAnsiTheme="minorHAnsi" w:cstheme="minorHAnsi"/>
          <w:kern w:val="28"/>
          <w:lang w:val="en-AU"/>
        </w:rPr>
      </w:pPr>
    </w:p>
    <w:p w14:paraId="18AE24B7" w14:textId="77777777" w:rsidR="00B26CA2" w:rsidRPr="00D24885" w:rsidRDefault="00B26CA2" w:rsidP="0043611F">
      <w:pPr>
        <w:jc w:val="center"/>
        <w:rPr>
          <w:rFonts w:asciiTheme="minorHAnsi" w:eastAsia="Times New Roman" w:hAnsiTheme="minorHAnsi" w:cstheme="minorHAnsi"/>
          <w:b/>
          <w:bCs/>
          <w:color w:val="00767F"/>
          <w:kern w:val="28"/>
          <w:lang w:val="en-AU"/>
        </w:rPr>
      </w:pPr>
    </w:p>
    <w:p w14:paraId="7405C6E5" w14:textId="77777777" w:rsidR="0043611F" w:rsidRPr="00D24885" w:rsidRDefault="0043611F" w:rsidP="0043611F">
      <w:pPr>
        <w:jc w:val="center"/>
        <w:rPr>
          <w:rFonts w:asciiTheme="minorHAnsi" w:eastAsia="Times New Roman" w:hAnsiTheme="minorHAnsi" w:cstheme="minorHAnsi"/>
          <w:b/>
          <w:bCs/>
          <w:color w:val="00767F"/>
          <w:kern w:val="28"/>
          <w:sz w:val="44"/>
          <w:szCs w:val="32"/>
          <w:lang w:val="en-AU"/>
        </w:rPr>
      </w:pPr>
    </w:p>
    <w:p w14:paraId="36962E9E" w14:textId="27419AD0" w:rsidR="00C435FB" w:rsidRPr="00D24885" w:rsidRDefault="00485E53" w:rsidP="000A3BFB">
      <w:pPr>
        <w:jc w:val="center"/>
        <w:rPr>
          <w:rFonts w:asciiTheme="majorHAnsi" w:eastAsia="Times New Roman" w:hAnsiTheme="majorHAnsi" w:cstheme="majorHAnsi"/>
          <w:b/>
          <w:bCs/>
          <w:kern w:val="28"/>
          <w:sz w:val="72"/>
          <w:szCs w:val="72"/>
          <w:lang w:val="en-AU"/>
        </w:rPr>
      </w:pPr>
      <w:r w:rsidRPr="00D24885">
        <w:rPr>
          <w:rFonts w:asciiTheme="majorHAnsi" w:eastAsia="Times New Roman" w:hAnsiTheme="majorHAnsi" w:cstheme="majorHAnsi"/>
          <w:b/>
          <w:bCs/>
          <w:kern w:val="28"/>
          <w:sz w:val="72"/>
          <w:szCs w:val="72"/>
          <w:lang w:val="en-AU"/>
        </w:rPr>
        <w:t>Senate Select Committee on the Cost of Living</w:t>
      </w:r>
      <w:r w:rsidR="000A3BFB" w:rsidRPr="00D24885">
        <w:rPr>
          <w:rFonts w:asciiTheme="majorHAnsi" w:eastAsia="Times New Roman" w:hAnsiTheme="majorHAnsi" w:cstheme="majorHAnsi"/>
          <w:b/>
          <w:bCs/>
          <w:kern w:val="28"/>
          <w:sz w:val="72"/>
          <w:szCs w:val="72"/>
          <w:lang w:val="en-AU"/>
        </w:rPr>
        <w:br/>
      </w:r>
      <w:r w:rsidR="000A3BFB" w:rsidRPr="00D24885">
        <w:rPr>
          <w:rFonts w:ascii="Calibri Light" w:eastAsia="MS Gothic" w:hAnsi="Calibri Light" w:cs="Calibri Light"/>
          <w:b/>
          <w:bCs/>
          <w:color w:val="00767F"/>
          <w:kern w:val="28"/>
          <w:sz w:val="44"/>
          <w:szCs w:val="44"/>
          <w:lang w:val="en-AU"/>
        </w:rPr>
        <w:br/>
      </w:r>
      <w:r w:rsidR="00C435FB" w:rsidRPr="00D24885">
        <w:rPr>
          <w:rFonts w:ascii="Calibri Light" w:eastAsia="MS Gothic" w:hAnsi="Calibri Light" w:cs="Calibri Light"/>
          <w:b/>
          <w:bCs/>
          <w:color w:val="00767F"/>
          <w:kern w:val="28"/>
          <w:sz w:val="44"/>
          <w:szCs w:val="44"/>
          <w:lang w:val="en-AU"/>
        </w:rPr>
        <w:t>Submission by AFDO</w:t>
      </w:r>
    </w:p>
    <w:p w14:paraId="28A67B9A" w14:textId="782E2BA7" w:rsidR="0010484D" w:rsidRPr="00D24885" w:rsidRDefault="0010484D" w:rsidP="000A3BFB">
      <w:pPr>
        <w:jc w:val="center"/>
        <w:rPr>
          <w:rFonts w:asciiTheme="majorHAnsi" w:hAnsiTheme="majorHAnsi" w:cstheme="majorHAnsi"/>
          <w:b/>
          <w:color w:val="006666"/>
          <w:sz w:val="48"/>
          <w:szCs w:val="48"/>
          <w:lang w:val="en-AU"/>
        </w:rPr>
      </w:pPr>
    </w:p>
    <w:p w14:paraId="304CCDFF" w14:textId="74C14DEF" w:rsidR="0043611F" w:rsidRPr="00D24885" w:rsidRDefault="0043611F" w:rsidP="0043611F">
      <w:pPr>
        <w:jc w:val="center"/>
        <w:rPr>
          <w:rFonts w:asciiTheme="majorHAnsi" w:hAnsiTheme="majorHAnsi" w:cstheme="majorHAnsi"/>
          <w:b/>
          <w:color w:val="343434"/>
          <w:sz w:val="28"/>
          <w:szCs w:val="72"/>
          <w:lang w:val="en-AU"/>
        </w:rPr>
      </w:pPr>
    </w:p>
    <w:p w14:paraId="36D7D125" w14:textId="1CAC29E4" w:rsidR="0043611F" w:rsidRPr="00D24885" w:rsidRDefault="0043611F" w:rsidP="0043611F">
      <w:pPr>
        <w:jc w:val="center"/>
        <w:rPr>
          <w:rFonts w:asciiTheme="majorHAnsi" w:hAnsiTheme="majorHAnsi" w:cstheme="majorHAnsi"/>
          <w:b/>
          <w:color w:val="343434"/>
          <w:sz w:val="28"/>
          <w:szCs w:val="72"/>
          <w:lang w:val="en-AU"/>
        </w:rPr>
      </w:pPr>
    </w:p>
    <w:p w14:paraId="7861CF5B" w14:textId="77777777" w:rsidR="0043611F" w:rsidRPr="00D24885" w:rsidRDefault="0043611F" w:rsidP="00051EF9">
      <w:pPr>
        <w:rPr>
          <w:rFonts w:asciiTheme="majorHAnsi" w:hAnsiTheme="majorHAnsi" w:cstheme="majorHAnsi"/>
          <w:b/>
          <w:color w:val="343434"/>
          <w:sz w:val="28"/>
          <w:szCs w:val="72"/>
          <w:lang w:val="en-AU"/>
        </w:rPr>
      </w:pPr>
    </w:p>
    <w:p w14:paraId="0D877D0B" w14:textId="26E46ED6" w:rsidR="0043611F" w:rsidRPr="00D24885" w:rsidRDefault="00485E53" w:rsidP="0043611F">
      <w:pPr>
        <w:jc w:val="center"/>
        <w:rPr>
          <w:rFonts w:asciiTheme="majorHAnsi" w:hAnsiTheme="majorHAnsi" w:cstheme="majorHAnsi"/>
          <w:b/>
          <w:color w:val="343434"/>
          <w:sz w:val="32"/>
          <w:szCs w:val="32"/>
          <w:lang w:val="en-AU"/>
        </w:rPr>
      </w:pPr>
      <w:bookmarkStart w:id="0" w:name="_Toc525849192"/>
      <w:bookmarkStart w:id="1" w:name="_Toc254011"/>
      <w:bookmarkStart w:id="2" w:name="_Toc2206648"/>
      <w:r w:rsidRPr="00D24885">
        <w:rPr>
          <w:rFonts w:asciiTheme="majorHAnsi" w:hAnsiTheme="majorHAnsi" w:cstheme="majorHAnsi"/>
          <w:b/>
          <w:color w:val="343434"/>
          <w:sz w:val="32"/>
          <w:szCs w:val="32"/>
          <w:lang w:val="en-AU"/>
        </w:rPr>
        <w:t>March</w:t>
      </w:r>
      <w:r w:rsidR="00050D98" w:rsidRPr="00D24885">
        <w:rPr>
          <w:rFonts w:asciiTheme="majorHAnsi" w:hAnsiTheme="majorHAnsi" w:cstheme="majorHAnsi"/>
          <w:b/>
          <w:color w:val="343434"/>
          <w:sz w:val="32"/>
          <w:szCs w:val="32"/>
          <w:lang w:val="en-AU"/>
        </w:rPr>
        <w:t xml:space="preserve"> 2023</w:t>
      </w:r>
    </w:p>
    <w:p w14:paraId="781BE5CF" w14:textId="64BAD8AC" w:rsidR="0043611F" w:rsidRPr="00D24885" w:rsidRDefault="0043611F" w:rsidP="0043611F">
      <w:pPr>
        <w:rPr>
          <w:rFonts w:asciiTheme="minorHAnsi" w:hAnsiTheme="minorHAnsi" w:cstheme="minorHAnsi"/>
          <w:b/>
          <w:color w:val="343434"/>
          <w:sz w:val="28"/>
          <w:szCs w:val="72"/>
          <w:lang w:val="en-AU"/>
        </w:rPr>
        <w:sectPr w:rsidR="0043611F" w:rsidRPr="00D24885" w:rsidSect="00C1246A">
          <w:headerReference w:type="even" r:id="rId12"/>
          <w:headerReference w:type="default" r:id="rId13"/>
          <w:footerReference w:type="even" r:id="rId14"/>
          <w:footerReference w:type="default" r:id="rId15"/>
          <w:headerReference w:type="first" r:id="rId16"/>
          <w:footerReference w:type="first" r:id="rId17"/>
          <w:pgSz w:w="11901" w:h="16817"/>
          <w:pgMar w:top="426" w:right="1134" w:bottom="1474" w:left="1134" w:header="709" w:footer="963" w:gutter="0"/>
          <w:cols w:space="708"/>
          <w:docGrid w:linePitch="326"/>
        </w:sectPr>
      </w:pPr>
    </w:p>
    <w:p w14:paraId="4688C687" w14:textId="701D1B7A" w:rsidR="0043611F" w:rsidRPr="00D24885" w:rsidRDefault="0043611F" w:rsidP="00C269B2">
      <w:pPr>
        <w:pStyle w:val="HeadingNew"/>
        <w:rPr>
          <w:lang w:val="en-AU"/>
        </w:rPr>
      </w:pPr>
      <w:r w:rsidRPr="00D24885">
        <w:rPr>
          <w:rStyle w:val="Heading2Char"/>
          <w:rFonts w:ascii="Calibri Light" w:eastAsia="Cambria" w:hAnsi="Calibri Light" w:cs="Times New Roman"/>
          <w:b/>
          <w:sz w:val="44"/>
          <w:szCs w:val="24"/>
          <w:lang w:eastAsia="en-US"/>
        </w:rPr>
        <w:lastRenderedPageBreak/>
        <w:t>Table of Contents</w:t>
      </w:r>
      <w:bookmarkEnd w:id="0"/>
      <w:bookmarkEnd w:id="1"/>
      <w:bookmarkEnd w:id="2"/>
    </w:p>
    <w:p w14:paraId="656E3038" w14:textId="284BDF70" w:rsidR="0043611F" w:rsidRPr="00D24885" w:rsidRDefault="0043611F" w:rsidP="000A0A75">
      <w:pPr>
        <w:pStyle w:val="TOC2"/>
        <w:ind w:left="0"/>
        <w:rPr>
          <w:rFonts w:eastAsiaTheme="minorEastAsia"/>
          <w:noProof w:val="0"/>
          <w:kern w:val="0"/>
          <w:sz w:val="28"/>
          <w:szCs w:val="28"/>
          <w:u w:val="none"/>
          <w:lang w:eastAsia="en-AU"/>
        </w:rPr>
      </w:pPr>
      <w:r w:rsidRPr="00D24885">
        <w:rPr>
          <w:b/>
          <w:bCs/>
          <w:noProof w:val="0"/>
          <w:u w:val="none"/>
        </w:rPr>
        <w:fldChar w:fldCharType="begin"/>
      </w:r>
      <w:r w:rsidRPr="00D24885">
        <w:rPr>
          <w:b/>
          <w:bCs/>
          <w:noProof w:val="0"/>
          <w:u w:val="none"/>
        </w:rPr>
        <w:instrText xml:space="preserve"> TOC \o "1-3" \h \z \u </w:instrText>
      </w:r>
      <w:r w:rsidRPr="00D24885">
        <w:rPr>
          <w:b/>
          <w:bCs/>
          <w:noProof w:val="0"/>
          <w:u w:val="none"/>
        </w:rPr>
        <w:fldChar w:fldCharType="separate"/>
      </w:r>
      <w:hyperlink w:anchor="_Toc2206648" w:history="1">
        <w:r w:rsidRPr="00D24885">
          <w:rPr>
            <w:rStyle w:val="Hyperlink"/>
            <w:rFonts w:eastAsiaTheme="majorEastAsia"/>
            <w:noProof w:val="0"/>
            <w:sz w:val="28"/>
            <w:szCs w:val="28"/>
            <w:u w:val="none"/>
          </w:rPr>
          <w:t>Table of Contents</w:t>
        </w:r>
        <w:r w:rsidRPr="00D24885">
          <w:rPr>
            <w:noProof w:val="0"/>
            <w:webHidden/>
            <w:sz w:val="28"/>
            <w:szCs w:val="28"/>
            <w:u w:val="none"/>
          </w:rPr>
          <w:tab/>
        </w:r>
        <w:r w:rsidRPr="00D24885">
          <w:rPr>
            <w:noProof w:val="0"/>
            <w:webHidden/>
            <w:sz w:val="28"/>
            <w:szCs w:val="28"/>
            <w:u w:val="none"/>
          </w:rPr>
          <w:fldChar w:fldCharType="begin"/>
        </w:r>
        <w:r w:rsidRPr="00D24885">
          <w:rPr>
            <w:noProof w:val="0"/>
            <w:webHidden/>
            <w:sz w:val="28"/>
            <w:szCs w:val="28"/>
            <w:u w:val="none"/>
          </w:rPr>
          <w:instrText xml:space="preserve"> PAGEREF _Toc2206648 \h </w:instrText>
        </w:r>
        <w:r w:rsidRPr="00D24885">
          <w:rPr>
            <w:noProof w:val="0"/>
            <w:webHidden/>
            <w:sz w:val="28"/>
            <w:szCs w:val="28"/>
            <w:u w:val="none"/>
          </w:rPr>
        </w:r>
        <w:r w:rsidRPr="00D24885">
          <w:rPr>
            <w:noProof w:val="0"/>
            <w:webHidden/>
            <w:sz w:val="28"/>
            <w:szCs w:val="28"/>
            <w:u w:val="none"/>
          </w:rPr>
          <w:fldChar w:fldCharType="separate"/>
        </w:r>
        <w:r w:rsidR="00FC4270">
          <w:rPr>
            <w:webHidden/>
            <w:sz w:val="28"/>
            <w:szCs w:val="28"/>
            <w:u w:val="none"/>
          </w:rPr>
          <w:t>1</w:t>
        </w:r>
        <w:r w:rsidRPr="00D24885">
          <w:rPr>
            <w:noProof w:val="0"/>
            <w:webHidden/>
            <w:sz w:val="28"/>
            <w:szCs w:val="28"/>
            <w:u w:val="none"/>
          </w:rPr>
          <w:fldChar w:fldCharType="end"/>
        </w:r>
      </w:hyperlink>
    </w:p>
    <w:p w14:paraId="4F3CCF4D" w14:textId="2F3EC273" w:rsidR="0043611F" w:rsidRPr="00D24885" w:rsidRDefault="00000000" w:rsidP="000A0A75">
      <w:pPr>
        <w:pStyle w:val="TOC2"/>
        <w:ind w:left="0"/>
        <w:rPr>
          <w:rFonts w:eastAsiaTheme="minorEastAsia"/>
          <w:noProof w:val="0"/>
          <w:kern w:val="0"/>
          <w:sz w:val="28"/>
          <w:szCs w:val="28"/>
          <w:u w:val="none"/>
          <w:lang w:eastAsia="en-AU"/>
        </w:rPr>
      </w:pPr>
      <w:hyperlink w:anchor="_Toc2206649" w:history="1">
        <w:r w:rsidR="0043611F" w:rsidRPr="00D24885">
          <w:rPr>
            <w:rStyle w:val="Hyperlink"/>
            <w:noProof w:val="0"/>
            <w:sz w:val="28"/>
            <w:szCs w:val="28"/>
            <w:u w:val="none"/>
          </w:rPr>
          <w:t>About AFDO</w:t>
        </w:r>
        <w:r w:rsidR="0043611F" w:rsidRPr="00D24885">
          <w:rPr>
            <w:noProof w:val="0"/>
            <w:webHidden/>
            <w:sz w:val="28"/>
            <w:szCs w:val="28"/>
            <w:u w:val="none"/>
          </w:rPr>
          <w:tab/>
        </w:r>
        <w:r w:rsidR="0043611F" w:rsidRPr="00D24885">
          <w:rPr>
            <w:noProof w:val="0"/>
            <w:webHidden/>
            <w:sz w:val="28"/>
            <w:szCs w:val="28"/>
            <w:u w:val="none"/>
          </w:rPr>
          <w:fldChar w:fldCharType="begin"/>
        </w:r>
        <w:r w:rsidR="0043611F" w:rsidRPr="00D24885">
          <w:rPr>
            <w:noProof w:val="0"/>
            <w:webHidden/>
            <w:sz w:val="28"/>
            <w:szCs w:val="28"/>
            <w:u w:val="none"/>
          </w:rPr>
          <w:instrText xml:space="preserve"> PAGEREF _Toc2206649 \h </w:instrText>
        </w:r>
        <w:r w:rsidR="0043611F" w:rsidRPr="00D24885">
          <w:rPr>
            <w:noProof w:val="0"/>
            <w:webHidden/>
            <w:sz w:val="28"/>
            <w:szCs w:val="28"/>
            <w:u w:val="none"/>
          </w:rPr>
        </w:r>
        <w:r w:rsidR="0043611F" w:rsidRPr="00D24885">
          <w:rPr>
            <w:noProof w:val="0"/>
            <w:webHidden/>
            <w:sz w:val="28"/>
            <w:szCs w:val="28"/>
            <w:u w:val="none"/>
          </w:rPr>
          <w:fldChar w:fldCharType="separate"/>
        </w:r>
        <w:r w:rsidR="00FC4270">
          <w:rPr>
            <w:webHidden/>
            <w:sz w:val="28"/>
            <w:szCs w:val="28"/>
            <w:u w:val="none"/>
          </w:rPr>
          <w:t>3</w:t>
        </w:r>
        <w:r w:rsidR="0043611F" w:rsidRPr="00D24885">
          <w:rPr>
            <w:noProof w:val="0"/>
            <w:webHidden/>
            <w:sz w:val="28"/>
            <w:szCs w:val="28"/>
            <w:u w:val="none"/>
          </w:rPr>
          <w:fldChar w:fldCharType="end"/>
        </w:r>
      </w:hyperlink>
    </w:p>
    <w:p w14:paraId="3501B09F" w14:textId="0371D300" w:rsidR="00D83C88" w:rsidRPr="00D24885" w:rsidRDefault="00C269B2" w:rsidP="00485E53">
      <w:pPr>
        <w:pStyle w:val="TOC2"/>
        <w:ind w:left="0"/>
        <w:rPr>
          <w:noProof w:val="0"/>
          <w:sz w:val="28"/>
          <w:szCs w:val="28"/>
          <w:u w:val="none"/>
        </w:rPr>
      </w:pPr>
      <w:r w:rsidRPr="00D24885">
        <w:rPr>
          <w:sz w:val="28"/>
          <w:szCs w:val="28"/>
          <w:u w:val="none"/>
        </w:rPr>
        <w:t>Our Members</w:t>
      </w:r>
      <w:r w:rsidR="00C41DAE" w:rsidRPr="00D24885">
        <w:rPr>
          <w:sz w:val="28"/>
          <w:szCs w:val="28"/>
          <w:u w:val="none"/>
        </w:rPr>
        <w:tab/>
      </w:r>
      <w:r w:rsidR="000A0A75" w:rsidRPr="00D24885">
        <w:rPr>
          <w:sz w:val="28"/>
          <w:szCs w:val="28"/>
          <w:u w:val="none"/>
        </w:rPr>
        <w:t>4</w:t>
      </w:r>
      <w:r w:rsidRPr="00D24885">
        <w:rPr>
          <w:sz w:val="28"/>
          <w:szCs w:val="28"/>
          <w:u w:val="none"/>
        </w:rPr>
        <w:br/>
      </w:r>
      <w:hyperlink w:anchor="_Toc2206650" w:history="1">
        <w:r w:rsidR="0043611F" w:rsidRPr="00D24885">
          <w:rPr>
            <w:rStyle w:val="Hyperlink"/>
            <w:noProof w:val="0"/>
            <w:sz w:val="28"/>
            <w:szCs w:val="28"/>
            <w:u w:val="none"/>
          </w:rPr>
          <w:t>Acknowledgements</w:t>
        </w:r>
        <w:r w:rsidR="0043611F" w:rsidRPr="00D24885">
          <w:rPr>
            <w:noProof w:val="0"/>
            <w:webHidden/>
            <w:sz w:val="28"/>
            <w:szCs w:val="28"/>
            <w:u w:val="none"/>
          </w:rPr>
          <w:tab/>
          <w:t>6</w:t>
        </w:r>
      </w:hyperlink>
      <w:r w:rsidR="00D83C88" w:rsidRPr="00D24885">
        <w:rPr>
          <w:noProof w:val="0"/>
          <w:sz w:val="28"/>
          <w:szCs w:val="28"/>
          <w:u w:val="none"/>
        </w:rPr>
        <w:br/>
      </w:r>
      <w:r w:rsidR="006402B7" w:rsidRPr="00D24885">
        <w:rPr>
          <w:noProof w:val="0"/>
          <w:sz w:val="28"/>
          <w:szCs w:val="28"/>
          <w:u w:val="none"/>
        </w:rPr>
        <w:br/>
      </w:r>
      <w:r w:rsidR="00D83C88" w:rsidRPr="00D24885">
        <w:rPr>
          <w:noProof w:val="0"/>
          <w:sz w:val="28"/>
          <w:szCs w:val="28"/>
          <w:u w:val="none"/>
        </w:rPr>
        <w:t>Recommendations</w:t>
      </w:r>
      <w:r w:rsidR="00D83C88" w:rsidRPr="00D24885">
        <w:rPr>
          <w:noProof w:val="0"/>
          <w:sz w:val="28"/>
          <w:szCs w:val="28"/>
          <w:u w:val="none"/>
        </w:rPr>
        <w:tab/>
      </w:r>
      <w:r w:rsidR="006A3E83">
        <w:rPr>
          <w:noProof w:val="0"/>
          <w:sz w:val="28"/>
          <w:szCs w:val="28"/>
          <w:u w:val="none"/>
        </w:rPr>
        <w:t>7</w:t>
      </w:r>
    </w:p>
    <w:p w14:paraId="51DF3F83" w14:textId="078E25BD" w:rsidR="0043611F" w:rsidRPr="00D24885" w:rsidRDefault="005369CE" w:rsidP="00187DA1">
      <w:pPr>
        <w:pStyle w:val="TOC2"/>
        <w:ind w:left="0"/>
        <w:rPr>
          <w:noProof w:val="0"/>
          <w:sz w:val="28"/>
          <w:szCs w:val="28"/>
          <w:u w:val="none"/>
        </w:rPr>
      </w:pPr>
      <w:r>
        <w:rPr>
          <w:noProof w:val="0"/>
          <w:sz w:val="28"/>
          <w:szCs w:val="28"/>
          <w:u w:val="none"/>
        </w:rPr>
        <w:t>Introductory comments</w:t>
      </w:r>
      <w:r w:rsidR="00D83C88" w:rsidRPr="00D24885">
        <w:rPr>
          <w:noProof w:val="0"/>
          <w:sz w:val="28"/>
          <w:szCs w:val="28"/>
          <w:u w:val="none"/>
        </w:rPr>
        <w:tab/>
      </w:r>
      <w:r w:rsidR="006A3E83">
        <w:rPr>
          <w:noProof w:val="0"/>
          <w:sz w:val="28"/>
          <w:szCs w:val="28"/>
          <w:u w:val="none"/>
        </w:rPr>
        <w:t>8</w:t>
      </w:r>
      <w:r>
        <w:rPr>
          <w:noProof w:val="0"/>
          <w:sz w:val="28"/>
          <w:szCs w:val="28"/>
          <w:u w:val="none"/>
        </w:rPr>
        <w:br/>
        <w:t>Poverty in Australia</w:t>
      </w:r>
      <w:r>
        <w:rPr>
          <w:noProof w:val="0"/>
          <w:sz w:val="28"/>
          <w:szCs w:val="28"/>
          <w:u w:val="none"/>
        </w:rPr>
        <w:tab/>
        <w:t>9</w:t>
      </w:r>
      <w:r>
        <w:rPr>
          <w:noProof w:val="0"/>
          <w:sz w:val="28"/>
          <w:szCs w:val="28"/>
          <w:u w:val="none"/>
        </w:rPr>
        <w:br/>
        <w:t>The cost of living crisis</w:t>
      </w:r>
      <w:r>
        <w:rPr>
          <w:noProof w:val="0"/>
          <w:sz w:val="28"/>
          <w:szCs w:val="28"/>
          <w:u w:val="none"/>
        </w:rPr>
        <w:tab/>
        <w:t>11</w:t>
      </w:r>
      <w:r w:rsidR="00A83311" w:rsidRPr="00D24885">
        <w:rPr>
          <w:noProof w:val="0"/>
          <w:sz w:val="28"/>
          <w:szCs w:val="28"/>
          <w:u w:val="none"/>
        </w:rPr>
        <w:br/>
      </w:r>
      <w:r w:rsidR="005728C8" w:rsidRPr="00D24885">
        <w:rPr>
          <w:noProof w:val="0"/>
          <w:sz w:val="28"/>
          <w:szCs w:val="28"/>
          <w:u w:val="none"/>
        </w:rPr>
        <w:t>Key mechanisms for easing the cost of living crisis</w:t>
      </w:r>
      <w:r w:rsidR="005728C8" w:rsidRPr="00D24885">
        <w:rPr>
          <w:noProof w:val="0"/>
          <w:sz w:val="28"/>
          <w:szCs w:val="28"/>
          <w:u w:val="none"/>
        </w:rPr>
        <w:tab/>
      </w:r>
      <w:r w:rsidR="006A3E83">
        <w:rPr>
          <w:noProof w:val="0"/>
          <w:sz w:val="28"/>
          <w:szCs w:val="28"/>
          <w:u w:val="none"/>
        </w:rPr>
        <w:t>1</w:t>
      </w:r>
      <w:r w:rsidR="001116AB">
        <w:rPr>
          <w:noProof w:val="0"/>
          <w:sz w:val="28"/>
          <w:szCs w:val="28"/>
          <w:u w:val="none"/>
        </w:rPr>
        <w:t>2</w:t>
      </w:r>
      <w:r w:rsidR="006402B7" w:rsidRPr="00D24885">
        <w:rPr>
          <w:noProof w:val="0"/>
          <w:sz w:val="28"/>
          <w:szCs w:val="28"/>
          <w:u w:val="none"/>
        </w:rPr>
        <w:br/>
        <w:t>The right to social security and social protection</w:t>
      </w:r>
      <w:r w:rsidR="006402B7" w:rsidRPr="00D24885">
        <w:rPr>
          <w:noProof w:val="0"/>
          <w:sz w:val="28"/>
          <w:szCs w:val="28"/>
          <w:u w:val="none"/>
        </w:rPr>
        <w:tab/>
      </w:r>
      <w:r w:rsidR="006A3E83">
        <w:rPr>
          <w:noProof w:val="0"/>
          <w:sz w:val="28"/>
          <w:szCs w:val="28"/>
          <w:u w:val="none"/>
        </w:rPr>
        <w:t>1</w:t>
      </w:r>
      <w:r w:rsidR="001116AB">
        <w:rPr>
          <w:noProof w:val="0"/>
          <w:sz w:val="28"/>
          <w:szCs w:val="28"/>
          <w:u w:val="none"/>
        </w:rPr>
        <w:t>6</w:t>
      </w:r>
      <w:r w:rsidR="006402B7" w:rsidRPr="00D24885">
        <w:rPr>
          <w:noProof w:val="0"/>
          <w:sz w:val="28"/>
          <w:szCs w:val="28"/>
          <w:u w:val="none"/>
        </w:rPr>
        <w:br/>
        <w:t>Key principles for a fair and reasonable income support system</w:t>
      </w:r>
      <w:r w:rsidR="006402B7" w:rsidRPr="00D24885">
        <w:rPr>
          <w:noProof w:val="0"/>
          <w:sz w:val="28"/>
          <w:szCs w:val="28"/>
          <w:u w:val="none"/>
        </w:rPr>
        <w:tab/>
      </w:r>
      <w:r w:rsidR="006A3E83">
        <w:rPr>
          <w:noProof w:val="0"/>
          <w:sz w:val="28"/>
          <w:szCs w:val="28"/>
          <w:u w:val="none"/>
        </w:rPr>
        <w:t>1</w:t>
      </w:r>
      <w:r w:rsidR="001116AB">
        <w:rPr>
          <w:noProof w:val="0"/>
          <w:sz w:val="28"/>
          <w:szCs w:val="28"/>
          <w:u w:val="none"/>
        </w:rPr>
        <w:t>8</w:t>
      </w:r>
      <w:r w:rsidR="006402B7" w:rsidRPr="00D24885">
        <w:rPr>
          <w:noProof w:val="0"/>
          <w:sz w:val="28"/>
          <w:szCs w:val="28"/>
          <w:u w:val="none"/>
        </w:rPr>
        <w:br/>
      </w:r>
      <w:r w:rsidR="006402B7" w:rsidRPr="00D24885">
        <w:rPr>
          <w:noProof w:val="0"/>
          <w:sz w:val="28"/>
          <w:szCs w:val="28"/>
          <w:u w:val="none"/>
        </w:rPr>
        <w:br/>
        <w:t>Reference list</w:t>
      </w:r>
      <w:r w:rsidR="006402B7" w:rsidRPr="00D24885">
        <w:rPr>
          <w:noProof w:val="0"/>
          <w:sz w:val="28"/>
          <w:szCs w:val="28"/>
          <w:u w:val="none"/>
        </w:rPr>
        <w:tab/>
      </w:r>
      <w:r w:rsidR="001116AB">
        <w:rPr>
          <w:noProof w:val="0"/>
          <w:sz w:val="28"/>
          <w:szCs w:val="28"/>
          <w:u w:val="none"/>
        </w:rPr>
        <w:t>20</w:t>
      </w:r>
    </w:p>
    <w:p w14:paraId="6F4D30A6" w14:textId="41DBAF84" w:rsidR="0043611F" w:rsidRPr="00D24885" w:rsidRDefault="0043611F" w:rsidP="00187DA1">
      <w:pPr>
        <w:pStyle w:val="Heading2"/>
        <w:rPr>
          <w:rFonts w:asciiTheme="minorHAnsi" w:eastAsia="Cambria" w:hAnsiTheme="minorHAnsi" w:cstheme="minorHAnsi"/>
          <w:b w:val="0"/>
          <w:bCs/>
          <w:smallCaps/>
          <w:sz w:val="24"/>
          <w:szCs w:val="24"/>
        </w:rPr>
      </w:pPr>
      <w:r w:rsidRPr="00D24885">
        <w:rPr>
          <w:rFonts w:asciiTheme="minorHAnsi" w:eastAsia="Cambria" w:hAnsiTheme="minorHAnsi" w:cstheme="minorHAnsi"/>
          <w:b w:val="0"/>
          <w:bCs/>
          <w:smallCaps/>
          <w:sz w:val="24"/>
          <w:szCs w:val="24"/>
        </w:rPr>
        <w:fldChar w:fldCharType="end"/>
      </w:r>
      <w:bookmarkStart w:id="3" w:name="_Toc254013"/>
      <w:bookmarkStart w:id="4" w:name="_Toc2206649"/>
    </w:p>
    <w:p w14:paraId="479A980F" w14:textId="6DFA67FD" w:rsidR="0043611F" w:rsidRPr="00D24885" w:rsidRDefault="0043611F" w:rsidP="0043611F">
      <w:pPr>
        <w:rPr>
          <w:lang w:val="en-AU" w:eastAsia="zh-CN"/>
        </w:rPr>
      </w:pPr>
    </w:p>
    <w:p w14:paraId="637A9025" w14:textId="77777777" w:rsidR="0043611F" w:rsidRPr="00D24885" w:rsidRDefault="0043611F" w:rsidP="0043611F">
      <w:pPr>
        <w:rPr>
          <w:lang w:val="en-AU"/>
        </w:rPr>
      </w:pPr>
    </w:p>
    <w:p w14:paraId="7C94676B" w14:textId="4A6AE5FA" w:rsidR="0043611F" w:rsidRPr="00D24885" w:rsidRDefault="0043611F" w:rsidP="008C4C84">
      <w:pPr>
        <w:pStyle w:val="HeadingNew"/>
        <w:rPr>
          <w:lang w:val="en-AU"/>
        </w:rPr>
      </w:pPr>
      <w:r w:rsidRPr="00D24885">
        <w:rPr>
          <w:lang w:val="en-AU"/>
        </w:rPr>
        <w:lastRenderedPageBreak/>
        <w:t>About AFDO</w:t>
      </w:r>
      <w:bookmarkEnd w:id="3"/>
      <w:bookmarkEnd w:id="4"/>
      <w:r w:rsidRPr="00D24885">
        <w:rPr>
          <w:lang w:val="en-AU"/>
        </w:rPr>
        <w:t xml:space="preserve"> </w:t>
      </w:r>
    </w:p>
    <w:p w14:paraId="6450641D" w14:textId="7D56BD7C" w:rsidR="0043611F" w:rsidRPr="00D24885" w:rsidRDefault="0043611F" w:rsidP="0043611F">
      <w:pPr>
        <w:rPr>
          <w:rFonts w:asciiTheme="minorHAnsi" w:hAnsiTheme="minorHAnsi" w:cstheme="minorHAnsi"/>
          <w:lang w:val="en-AU"/>
        </w:rPr>
      </w:pPr>
      <w:r w:rsidRPr="00D24885">
        <w:rPr>
          <w:rFonts w:asciiTheme="minorHAnsi" w:hAnsiTheme="minorHAnsi" w:cstheme="minorHAnsi"/>
          <w:lang w:val="en-AU"/>
        </w:rP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7B1D8A44" w14:textId="77777777" w:rsidR="0043611F" w:rsidRPr="00D24885" w:rsidRDefault="0043611F" w:rsidP="0043611F">
      <w:pPr>
        <w:rPr>
          <w:rFonts w:asciiTheme="minorHAnsi" w:hAnsiTheme="minorHAnsi" w:cstheme="minorHAnsi"/>
          <w:lang w:val="en-AU"/>
        </w:rPr>
      </w:pPr>
      <w:r w:rsidRPr="00D24885">
        <w:rPr>
          <w:rFonts w:asciiTheme="minorHAnsi" w:hAnsiTheme="minorHAnsi" w:cstheme="minorHAnsi"/>
          <w:lang w:val="en-AU"/>
        </w:rPr>
        <w:t>Our member organisations represent disability specific communities with a total reach of over 3.8 million Australians.</w:t>
      </w:r>
    </w:p>
    <w:p w14:paraId="374E5BD3" w14:textId="77777777" w:rsidR="0043611F" w:rsidRPr="00D24885" w:rsidRDefault="0043611F" w:rsidP="0043611F">
      <w:pPr>
        <w:rPr>
          <w:rFonts w:asciiTheme="minorHAnsi" w:hAnsiTheme="minorHAnsi" w:cstheme="minorHAnsi"/>
          <w:lang w:val="en-AU"/>
        </w:rPr>
      </w:pPr>
      <w:r w:rsidRPr="00D24885">
        <w:rPr>
          <w:rFonts w:asciiTheme="minorHAnsi" w:hAnsiTheme="minorHAnsi" w:cstheme="minorHAnsi"/>
          <w:lang w:val="en-AU"/>
        </w:rPr>
        <w:t>AFDO continues to provide a strong, trusted, independent voice for the disability sector on national policy, inquiries, submissions, systemic advocacy and advisory on government initiatives with the Federal and State/Territory governments.</w:t>
      </w:r>
    </w:p>
    <w:p w14:paraId="542570B6" w14:textId="77777777" w:rsidR="0043611F" w:rsidRPr="00D24885" w:rsidRDefault="0043611F" w:rsidP="0043611F">
      <w:pPr>
        <w:rPr>
          <w:rFonts w:asciiTheme="minorHAnsi" w:hAnsiTheme="minorHAnsi" w:cstheme="minorHAnsi"/>
          <w:lang w:val="en-AU"/>
        </w:rPr>
      </w:pPr>
      <w:r w:rsidRPr="00D24885">
        <w:rPr>
          <w:rFonts w:asciiTheme="minorHAnsi" w:hAnsiTheme="minorHAnsi" w:cstheme="minorHAnsi"/>
          <w:lang w:val="en-AU"/>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3B61E5C3" w14:textId="77777777" w:rsidR="0043611F" w:rsidRPr="00D24885" w:rsidRDefault="0043611F" w:rsidP="0043611F">
      <w:pPr>
        <w:rPr>
          <w:rFonts w:asciiTheme="majorHAnsi" w:hAnsiTheme="majorHAnsi" w:cstheme="majorHAnsi"/>
          <w:b/>
          <w:color w:val="00767F"/>
          <w:sz w:val="28"/>
          <w:szCs w:val="28"/>
          <w:lang w:val="en-AU"/>
        </w:rPr>
      </w:pPr>
      <w:r w:rsidRPr="00D24885">
        <w:rPr>
          <w:rFonts w:asciiTheme="majorHAnsi" w:hAnsiTheme="majorHAnsi" w:cstheme="majorHAnsi"/>
          <w:b/>
          <w:color w:val="00767F"/>
          <w:sz w:val="28"/>
          <w:szCs w:val="28"/>
          <w:lang w:val="en-AU"/>
        </w:rPr>
        <w:t>Our vision</w:t>
      </w:r>
    </w:p>
    <w:p w14:paraId="35B8360B" w14:textId="77777777" w:rsidR="0043611F" w:rsidRPr="00D24885" w:rsidRDefault="0043611F" w:rsidP="0043611F">
      <w:pPr>
        <w:rPr>
          <w:rFonts w:asciiTheme="minorHAnsi" w:hAnsiTheme="minorHAnsi" w:cstheme="minorHAnsi"/>
          <w:lang w:val="en-AU"/>
        </w:rPr>
      </w:pPr>
      <w:r w:rsidRPr="00D24885">
        <w:rPr>
          <w:rFonts w:asciiTheme="minorHAnsi" w:hAnsiTheme="minorHAnsi" w:cstheme="minorHAnsi"/>
          <w:lang w:val="en-AU"/>
        </w:rPr>
        <w:t>That all people with disabilities must be involved equally in all aspects of social, economic, political and cultural life.</w:t>
      </w:r>
    </w:p>
    <w:p w14:paraId="76FE136B" w14:textId="77777777" w:rsidR="0043611F" w:rsidRPr="00D24885" w:rsidRDefault="0043611F" w:rsidP="0043611F">
      <w:pPr>
        <w:rPr>
          <w:rFonts w:asciiTheme="majorHAnsi" w:hAnsiTheme="majorHAnsi" w:cstheme="majorHAnsi"/>
          <w:b/>
          <w:color w:val="00767F"/>
          <w:sz w:val="28"/>
          <w:szCs w:val="28"/>
          <w:lang w:val="en-AU"/>
        </w:rPr>
      </w:pPr>
      <w:r w:rsidRPr="00D24885">
        <w:rPr>
          <w:rFonts w:asciiTheme="majorHAnsi" w:hAnsiTheme="majorHAnsi" w:cstheme="majorHAnsi"/>
          <w:b/>
          <w:color w:val="00767F"/>
          <w:sz w:val="28"/>
          <w:szCs w:val="28"/>
          <w:lang w:val="en-AU"/>
        </w:rPr>
        <w:t>Our mission</w:t>
      </w:r>
    </w:p>
    <w:p w14:paraId="0C3BDE65" w14:textId="77777777" w:rsidR="0043611F" w:rsidRPr="00D24885" w:rsidRDefault="0043611F" w:rsidP="0043611F">
      <w:pPr>
        <w:rPr>
          <w:rFonts w:asciiTheme="minorHAnsi" w:hAnsiTheme="minorHAnsi" w:cstheme="minorHAnsi"/>
          <w:lang w:val="en-AU"/>
        </w:rPr>
      </w:pPr>
      <w:r w:rsidRPr="00D24885">
        <w:rPr>
          <w:rFonts w:asciiTheme="minorHAnsi" w:hAnsiTheme="minorHAnsi" w:cstheme="minorHAnsi"/>
          <w:lang w:val="en-AU"/>
        </w:rPr>
        <w:t>Using the strength of our membership-based organisations to harness the collective power of uniting people with disability to change society into a community where everyone is equal.</w:t>
      </w:r>
    </w:p>
    <w:p w14:paraId="6FCF792B" w14:textId="77777777" w:rsidR="0043611F" w:rsidRPr="00D24885" w:rsidRDefault="0043611F" w:rsidP="0043611F">
      <w:pPr>
        <w:rPr>
          <w:rFonts w:asciiTheme="majorHAnsi" w:hAnsiTheme="majorHAnsi" w:cstheme="majorHAnsi"/>
          <w:b/>
          <w:color w:val="00767F"/>
          <w:sz w:val="28"/>
          <w:szCs w:val="28"/>
          <w:lang w:val="en-AU"/>
        </w:rPr>
      </w:pPr>
      <w:r w:rsidRPr="00D24885">
        <w:rPr>
          <w:rFonts w:asciiTheme="majorHAnsi" w:hAnsiTheme="majorHAnsi" w:cstheme="majorHAnsi"/>
          <w:b/>
          <w:color w:val="00767F"/>
          <w:sz w:val="28"/>
          <w:szCs w:val="28"/>
          <w:lang w:val="en-AU"/>
        </w:rPr>
        <w:t>Our strategic objectives</w:t>
      </w:r>
    </w:p>
    <w:p w14:paraId="05685478" w14:textId="77777777" w:rsidR="0043611F" w:rsidRPr="00D24885" w:rsidRDefault="0043611F" w:rsidP="0043611F">
      <w:pPr>
        <w:rPr>
          <w:rFonts w:asciiTheme="minorHAnsi" w:hAnsiTheme="minorHAnsi" w:cstheme="minorHAnsi"/>
          <w:lang w:val="en-AU"/>
        </w:rPr>
      </w:pPr>
      <w:r w:rsidRPr="00D24885">
        <w:rPr>
          <w:rFonts w:asciiTheme="minorHAnsi" w:hAnsiTheme="minorHAnsi" w:cstheme="minorHAnsi"/>
          <w:lang w:val="en-AU"/>
        </w:rPr>
        <w:t>To represent the united voice of our members and people with disability in national initiatives and policy debate.</w:t>
      </w:r>
    </w:p>
    <w:p w14:paraId="0E7D3E2A" w14:textId="77777777" w:rsidR="0043611F" w:rsidRPr="00D24885" w:rsidRDefault="0043611F" w:rsidP="0043611F">
      <w:pPr>
        <w:rPr>
          <w:rFonts w:asciiTheme="minorHAnsi" w:hAnsiTheme="minorHAnsi" w:cstheme="minorHAnsi"/>
          <w:lang w:val="en-AU"/>
        </w:rPr>
      </w:pPr>
      <w:r w:rsidRPr="00D24885">
        <w:rPr>
          <w:rFonts w:asciiTheme="minorHAnsi" w:hAnsiTheme="minorHAnsi" w:cstheme="minorHAnsi"/>
          <w:lang w:val="en-AU"/>
        </w:rPr>
        <w:t>To enhance the profile, respect and reputation for AFDO through our members.</w:t>
      </w:r>
    </w:p>
    <w:p w14:paraId="75C67811" w14:textId="77777777" w:rsidR="0043611F" w:rsidRPr="00D24885" w:rsidRDefault="0043611F" w:rsidP="0043611F">
      <w:pPr>
        <w:rPr>
          <w:rFonts w:asciiTheme="minorHAnsi" w:hAnsiTheme="minorHAnsi" w:cstheme="minorHAnsi"/>
          <w:lang w:val="en-AU"/>
        </w:rPr>
      </w:pPr>
      <w:r w:rsidRPr="00D24885">
        <w:rPr>
          <w:rFonts w:asciiTheme="minorHAnsi" w:hAnsiTheme="minorHAnsi" w:cstheme="minorHAnsi"/>
          <w:lang w:val="en-AU"/>
        </w:rPr>
        <w:t>To build the capacity and sustainability of AFDO and our members.</w:t>
      </w:r>
    </w:p>
    <w:p w14:paraId="59F927D3" w14:textId="77777777" w:rsidR="0043611F" w:rsidRPr="00D24885" w:rsidRDefault="0043611F" w:rsidP="0043611F">
      <w:pPr>
        <w:rPr>
          <w:rFonts w:asciiTheme="minorHAnsi" w:hAnsiTheme="minorHAnsi" w:cstheme="minorHAnsi"/>
          <w:lang w:val="en-AU"/>
        </w:rPr>
      </w:pPr>
      <w:r w:rsidRPr="00D24885">
        <w:rPr>
          <w:rFonts w:asciiTheme="minorHAnsi" w:hAnsiTheme="minorHAnsi" w:cstheme="minorHAnsi"/>
          <w:lang w:val="en-AU"/>
        </w:rPr>
        <w:t>To foster strong collaboration and engagement between our members and stakeholders.</w:t>
      </w:r>
    </w:p>
    <w:p w14:paraId="7F62C272" w14:textId="77777777" w:rsidR="005318B2" w:rsidRPr="00D24885" w:rsidRDefault="0043611F" w:rsidP="005318B2">
      <w:pPr>
        <w:rPr>
          <w:rFonts w:asciiTheme="minorHAnsi" w:hAnsiTheme="minorHAnsi" w:cstheme="minorHAnsi"/>
          <w:lang w:val="en-AU"/>
        </w:rPr>
      </w:pPr>
      <w:r w:rsidRPr="00D24885">
        <w:rPr>
          <w:rFonts w:asciiTheme="minorHAnsi" w:hAnsiTheme="minorHAnsi" w:cstheme="minorHAnsi"/>
          <w:lang w:val="en-AU"/>
        </w:rPr>
        <w:t>To enhance AFDO's connection and influence in international disability initiatives, particularly in the Asia Pacific region, through policy, advocacy and engagement</w:t>
      </w:r>
    </w:p>
    <w:p w14:paraId="4A668CB6" w14:textId="597883BD" w:rsidR="0043611F" w:rsidRPr="00D24885" w:rsidRDefault="0043611F" w:rsidP="008C4C84">
      <w:pPr>
        <w:pStyle w:val="HeadingNew"/>
        <w:rPr>
          <w:rFonts w:asciiTheme="minorHAnsi" w:hAnsiTheme="minorHAnsi" w:cstheme="minorHAnsi"/>
          <w:color w:val="auto"/>
          <w:sz w:val="24"/>
          <w:lang w:val="en-AU"/>
        </w:rPr>
      </w:pPr>
      <w:r w:rsidRPr="00D24885">
        <w:rPr>
          <w:lang w:val="en-AU"/>
        </w:rPr>
        <w:lastRenderedPageBreak/>
        <w:t>Our members</w:t>
      </w:r>
    </w:p>
    <w:p w14:paraId="5B310C11" w14:textId="03B02E71" w:rsidR="0043611F" w:rsidRPr="00D24885" w:rsidRDefault="0043611F" w:rsidP="0043611F">
      <w:pPr>
        <w:spacing w:after="0" w:line="240" w:lineRule="auto"/>
        <w:rPr>
          <w:rFonts w:asciiTheme="minorHAnsi" w:hAnsiTheme="minorHAnsi" w:cstheme="minorHAnsi"/>
          <w:b/>
          <w:lang w:val="en-AU"/>
        </w:rPr>
      </w:pPr>
      <w:r w:rsidRPr="00D24885">
        <w:rPr>
          <w:rFonts w:asciiTheme="minorHAnsi" w:hAnsiTheme="minorHAnsi" w:cstheme="minorHAnsi"/>
          <w:b/>
          <w:lang w:val="en-AU"/>
        </w:rPr>
        <w:t>Full members:</w:t>
      </w:r>
    </w:p>
    <w:p w14:paraId="03A8BBE0"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lang w:val="en-AU"/>
        </w:rPr>
      </w:pPr>
      <w:r w:rsidRPr="00D24885">
        <w:rPr>
          <w:rFonts w:asciiTheme="minorHAnsi" w:hAnsiTheme="minorHAnsi" w:cstheme="minorHAnsi"/>
          <w:color w:val="000000"/>
          <w:shd w:val="clear" w:color="auto" w:fill="FFFFFF"/>
          <w:lang w:val="en-AU"/>
        </w:rPr>
        <w:t>Arts Access Australia</w:t>
      </w:r>
    </w:p>
    <w:p w14:paraId="7B3C2FBA" w14:textId="669056BB" w:rsidR="0043611F" w:rsidRPr="00D24885" w:rsidRDefault="0043611F" w:rsidP="00B95C54">
      <w:pPr>
        <w:pStyle w:val="ListParagraph"/>
        <w:numPr>
          <w:ilvl w:val="0"/>
          <w:numId w:val="2"/>
        </w:numPr>
        <w:spacing w:before="0" w:after="0" w:line="240" w:lineRule="auto"/>
        <w:rPr>
          <w:rFonts w:asciiTheme="minorHAnsi" w:hAnsiTheme="minorHAnsi" w:cstheme="minorHAnsi"/>
          <w:lang w:val="en-AU"/>
        </w:rPr>
      </w:pPr>
      <w:r w:rsidRPr="00D24885">
        <w:rPr>
          <w:rFonts w:asciiTheme="minorHAnsi" w:hAnsiTheme="minorHAnsi" w:cstheme="minorHAnsi"/>
          <w:color w:val="000000"/>
          <w:shd w:val="clear" w:color="auto" w:fill="FFFFFF"/>
          <w:lang w:val="en-AU"/>
        </w:rPr>
        <w:t xml:space="preserve">Autism </w:t>
      </w:r>
      <w:proofErr w:type="spellStart"/>
      <w:r w:rsidR="0010484D" w:rsidRPr="00D24885">
        <w:rPr>
          <w:rFonts w:asciiTheme="minorHAnsi" w:hAnsiTheme="minorHAnsi" w:cstheme="minorHAnsi"/>
          <w:color w:val="000000"/>
          <w:shd w:val="clear" w:color="auto" w:fill="FFFFFF"/>
          <w:lang w:val="en-AU"/>
        </w:rPr>
        <w:t>Aspergers</w:t>
      </w:r>
      <w:proofErr w:type="spellEnd"/>
      <w:r w:rsidRPr="00D24885">
        <w:rPr>
          <w:rFonts w:asciiTheme="minorHAnsi" w:hAnsiTheme="minorHAnsi" w:cstheme="minorHAnsi"/>
          <w:color w:val="000000"/>
          <w:shd w:val="clear" w:color="auto" w:fill="FFFFFF"/>
          <w:lang w:val="en-AU"/>
        </w:rPr>
        <w:t xml:space="preserve"> Advocacy Australia</w:t>
      </w:r>
    </w:p>
    <w:p w14:paraId="4EFFEAFB"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Blind Citizens Australia</w:t>
      </w:r>
    </w:p>
    <w:p w14:paraId="4AE67520"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Brain Injury Australia</w:t>
      </w:r>
    </w:p>
    <w:p w14:paraId="06283395"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Deaf Australia</w:t>
      </w:r>
    </w:p>
    <w:p w14:paraId="4F4F7E45"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Deafblind Australia</w:t>
      </w:r>
    </w:p>
    <w:p w14:paraId="37ABFE2D"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Deafness Forum of Australia</w:t>
      </w:r>
    </w:p>
    <w:p w14:paraId="5C42C768"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Down Syndrome Australia</w:t>
      </w:r>
    </w:p>
    <w:p w14:paraId="08E8D06E"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Disability Advocacy Network Australia</w:t>
      </w:r>
    </w:p>
    <w:p w14:paraId="6690B1CC"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Disability Justice Australia</w:t>
      </w:r>
    </w:p>
    <w:p w14:paraId="5801D4E5"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Disability Resources Centre</w:t>
      </w:r>
    </w:p>
    <w:p w14:paraId="595143B6"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Enhanced Lifestyles</w:t>
      </w:r>
    </w:p>
    <w:p w14:paraId="1D9F73E3"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Multiple Sclerosis Australia</w:t>
      </w:r>
    </w:p>
    <w:p w14:paraId="092D8BFB"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National Mental Health Consumer and Carer Forum (NMHCCF)</w:t>
      </w:r>
    </w:p>
    <w:p w14:paraId="335FDEB9" w14:textId="51743158"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People with Disabilit</w:t>
      </w:r>
      <w:r w:rsidR="009471EF">
        <w:rPr>
          <w:rFonts w:asciiTheme="minorHAnsi" w:hAnsiTheme="minorHAnsi" w:cstheme="minorHAnsi"/>
          <w:color w:val="000000"/>
          <w:shd w:val="clear" w:color="auto" w:fill="FFFFFF"/>
          <w:lang w:val="en-AU"/>
        </w:rPr>
        <w:t>ies</w:t>
      </w:r>
      <w:r w:rsidRPr="00D24885">
        <w:rPr>
          <w:rFonts w:asciiTheme="minorHAnsi" w:hAnsiTheme="minorHAnsi" w:cstheme="minorHAnsi"/>
          <w:color w:val="000000"/>
          <w:shd w:val="clear" w:color="auto" w:fill="FFFFFF"/>
          <w:lang w:val="en-AU"/>
        </w:rPr>
        <w:t xml:space="preserve"> WA</w:t>
      </w:r>
    </w:p>
    <w:p w14:paraId="7FF01E11"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 xml:space="preserve">People with Disabilities ACT </w:t>
      </w:r>
    </w:p>
    <w:p w14:paraId="39BE8197"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Polio Australia</w:t>
      </w:r>
    </w:p>
    <w:p w14:paraId="5C7E4ACE"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Physical Disability Australia</w:t>
      </w:r>
    </w:p>
    <w:p w14:paraId="7408AF94"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Women with Disabilities Victoria</w:t>
      </w:r>
    </w:p>
    <w:p w14:paraId="0C44AC71" w14:textId="77777777" w:rsidR="0043611F" w:rsidRPr="00D24885"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D24885">
        <w:rPr>
          <w:rFonts w:asciiTheme="minorHAnsi" w:hAnsiTheme="minorHAnsi" w:cstheme="minorHAnsi"/>
          <w:color w:val="000000"/>
          <w:shd w:val="clear" w:color="auto" w:fill="FFFFFF"/>
          <w:lang w:val="en-AU"/>
        </w:rPr>
        <w:t>Women with Disabilities ACT</w:t>
      </w:r>
    </w:p>
    <w:p w14:paraId="41981F47" w14:textId="77777777" w:rsidR="0043611F" w:rsidRPr="00D24885" w:rsidRDefault="0043611F" w:rsidP="0043611F">
      <w:pPr>
        <w:spacing w:after="0"/>
        <w:rPr>
          <w:rFonts w:asciiTheme="minorHAnsi" w:hAnsiTheme="minorHAnsi" w:cstheme="minorHAnsi"/>
          <w:color w:val="000000"/>
          <w:shd w:val="clear" w:color="auto" w:fill="FFFFFF"/>
          <w:lang w:val="en-AU"/>
        </w:rPr>
      </w:pPr>
    </w:p>
    <w:p w14:paraId="03F4B16D" w14:textId="77777777" w:rsidR="0043611F" w:rsidRPr="00D24885" w:rsidRDefault="0043611F" w:rsidP="0043611F">
      <w:pPr>
        <w:spacing w:after="0" w:line="240" w:lineRule="auto"/>
        <w:rPr>
          <w:rFonts w:asciiTheme="minorHAnsi" w:hAnsiTheme="minorHAnsi" w:cstheme="minorHAnsi"/>
          <w:b/>
          <w:lang w:val="en-AU"/>
        </w:rPr>
      </w:pPr>
      <w:r w:rsidRPr="00D24885">
        <w:rPr>
          <w:rFonts w:asciiTheme="minorHAnsi" w:hAnsiTheme="minorHAnsi" w:cstheme="minorHAnsi"/>
          <w:b/>
          <w:lang w:val="en-AU"/>
        </w:rPr>
        <w:t>Associate members:</w:t>
      </w:r>
    </w:p>
    <w:p w14:paraId="5D4752C6" w14:textId="77777777" w:rsidR="0043611F" w:rsidRPr="00D24885" w:rsidRDefault="0043611F" w:rsidP="00B95C54">
      <w:pPr>
        <w:pStyle w:val="ListParagraph"/>
        <w:numPr>
          <w:ilvl w:val="0"/>
          <w:numId w:val="3"/>
        </w:numPr>
        <w:spacing w:before="0" w:after="0" w:line="240" w:lineRule="auto"/>
        <w:rPr>
          <w:rFonts w:asciiTheme="minorHAnsi" w:hAnsiTheme="minorHAnsi" w:cstheme="minorHAnsi"/>
          <w:lang w:val="en-AU"/>
        </w:rPr>
      </w:pPr>
      <w:r w:rsidRPr="00D24885">
        <w:rPr>
          <w:rFonts w:asciiTheme="minorHAnsi" w:hAnsiTheme="minorHAnsi" w:cstheme="minorHAnsi"/>
          <w:lang w:val="en-AU"/>
        </w:rPr>
        <w:t xml:space="preserve">AED Legal Centre </w:t>
      </w:r>
    </w:p>
    <w:p w14:paraId="143F6E44" w14:textId="77777777" w:rsidR="0043611F" w:rsidRPr="00D24885" w:rsidRDefault="0043611F" w:rsidP="00B95C54">
      <w:pPr>
        <w:pStyle w:val="ListParagraph"/>
        <w:numPr>
          <w:ilvl w:val="0"/>
          <w:numId w:val="3"/>
        </w:numPr>
        <w:spacing w:before="0" w:after="0" w:line="240" w:lineRule="auto"/>
        <w:rPr>
          <w:rFonts w:asciiTheme="minorHAnsi" w:hAnsiTheme="minorHAnsi" w:cstheme="minorHAnsi"/>
          <w:lang w:val="en-AU"/>
        </w:rPr>
      </w:pPr>
      <w:r w:rsidRPr="00D24885">
        <w:rPr>
          <w:rFonts w:asciiTheme="minorHAnsi" w:hAnsiTheme="minorHAnsi" w:cstheme="minorHAnsi"/>
          <w:lang w:val="en-AU"/>
        </w:rPr>
        <w:t>All Means All</w:t>
      </w:r>
    </w:p>
    <w:p w14:paraId="6075F59A" w14:textId="77777777" w:rsidR="0043611F" w:rsidRPr="00D24885" w:rsidRDefault="0043611F" w:rsidP="00B95C54">
      <w:pPr>
        <w:pStyle w:val="ListParagraph"/>
        <w:numPr>
          <w:ilvl w:val="0"/>
          <w:numId w:val="3"/>
        </w:numPr>
        <w:spacing w:before="0" w:after="0" w:line="240" w:lineRule="auto"/>
        <w:rPr>
          <w:rFonts w:asciiTheme="minorHAnsi" w:hAnsiTheme="minorHAnsi" w:cstheme="minorHAnsi"/>
          <w:lang w:val="en-AU"/>
        </w:rPr>
      </w:pPr>
      <w:r w:rsidRPr="00D24885">
        <w:rPr>
          <w:rFonts w:asciiTheme="minorHAnsi" w:hAnsiTheme="minorHAnsi" w:cstheme="minorHAnsi"/>
          <w:lang w:val="en-AU"/>
        </w:rPr>
        <w:t xml:space="preserve">Amaze </w:t>
      </w:r>
    </w:p>
    <w:p w14:paraId="285BF90D" w14:textId="77777777" w:rsidR="0043611F" w:rsidRPr="00D24885" w:rsidRDefault="0043611F" w:rsidP="00B95C54">
      <w:pPr>
        <w:pStyle w:val="ListParagraph"/>
        <w:numPr>
          <w:ilvl w:val="0"/>
          <w:numId w:val="3"/>
        </w:numPr>
        <w:spacing w:before="0" w:after="0" w:line="240" w:lineRule="auto"/>
        <w:rPr>
          <w:rFonts w:asciiTheme="minorHAnsi" w:hAnsiTheme="minorHAnsi" w:cstheme="minorHAnsi"/>
          <w:lang w:val="en-AU"/>
        </w:rPr>
      </w:pPr>
      <w:proofErr w:type="spellStart"/>
      <w:r w:rsidRPr="00D24885">
        <w:rPr>
          <w:rFonts w:asciiTheme="minorHAnsi" w:hAnsiTheme="minorHAnsi" w:cstheme="minorHAnsi"/>
          <w:lang w:val="en-AU"/>
        </w:rPr>
        <w:t>Aspergers</w:t>
      </w:r>
      <w:proofErr w:type="spellEnd"/>
      <w:r w:rsidRPr="00D24885">
        <w:rPr>
          <w:rFonts w:asciiTheme="minorHAnsi" w:hAnsiTheme="minorHAnsi" w:cstheme="minorHAnsi"/>
          <w:lang w:val="en-AU"/>
        </w:rPr>
        <w:t xml:space="preserve"> Victoria</w:t>
      </w:r>
    </w:p>
    <w:p w14:paraId="6B6E34F9" w14:textId="77777777" w:rsidR="0043611F" w:rsidRPr="00D24885" w:rsidRDefault="0043611F" w:rsidP="00B95C54">
      <w:pPr>
        <w:pStyle w:val="ListParagraph"/>
        <w:numPr>
          <w:ilvl w:val="0"/>
          <w:numId w:val="3"/>
        </w:numPr>
        <w:spacing w:before="0" w:after="0" w:line="240" w:lineRule="auto"/>
        <w:rPr>
          <w:rFonts w:asciiTheme="minorHAnsi" w:hAnsiTheme="minorHAnsi" w:cstheme="minorHAnsi"/>
          <w:lang w:val="en-AU"/>
        </w:rPr>
      </w:pPr>
      <w:r w:rsidRPr="00D24885">
        <w:rPr>
          <w:rFonts w:asciiTheme="minorHAnsi" w:hAnsiTheme="minorHAnsi" w:cstheme="minorHAnsi"/>
          <w:lang w:val="en-AU"/>
        </w:rPr>
        <w:t>Disability Advocacy and Complaints Service of South Australia (DACSSA)</w:t>
      </w:r>
    </w:p>
    <w:p w14:paraId="7207D974" w14:textId="77777777" w:rsidR="0043611F" w:rsidRPr="00D24885" w:rsidRDefault="0043611F" w:rsidP="00B95C54">
      <w:pPr>
        <w:pStyle w:val="ListParagraph"/>
        <w:numPr>
          <w:ilvl w:val="0"/>
          <w:numId w:val="3"/>
        </w:numPr>
        <w:spacing w:before="0" w:after="0" w:line="240" w:lineRule="auto"/>
        <w:rPr>
          <w:rFonts w:asciiTheme="minorHAnsi" w:hAnsiTheme="minorHAnsi" w:cstheme="minorHAnsi"/>
          <w:lang w:val="en-AU"/>
        </w:rPr>
      </w:pPr>
      <w:r w:rsidRPr="00D24885">
        <w:rPr>
          <w:rFonts w:asciiTheme="minorHAnsi" w:hAnsiTheme="minorHAnsi" w:cstheme="minorHAnsi"/>
          <w:lang w:val="en-AU"/>
        </w:rPr>
        <w:t>Leadership Plus</w:t>
      </w:r>
    </w:p>
    <w:p w14:paraId="322E212A" w14:textId="77777777" w:rsidR="0043611F" w:rsidRPr="00D24885" w:rsidRDefault="0043611F" w:rsidP="00B95C54">
      <w:pPr>
        <w:pStyle w:val="ListParagraph"/>
        <w:numPr>
          <w:ilvl w:val="0"/>
          <w:numId w:val="3"/>
        </w:numPr>
        <w:spacing w:before="0" w:after="0" w:line="240" w:lineRule="auto"/>
        <w:rPr>
          <w:rFonts w:asciiTheme="minorHAnsi" w:hAnsiTheme="minorHAnsi" w:cstheme="minorHAnsi"/>
          <w:lang w:val="en-AU"/>
        </w:rPr>
      </w:pPr>
      <w:r w:rsidRPr="00D24885">
        <w:rPr>
          <w:rFonts w:asciiTheme="minorHAnsi" w:hAnsiTheme="minorHAnsi" w:cstheme="minorHAnsi"/>
          <w:lang w:val="en-AU"/>
        </w:rPr>
        <w:t xml:space="preserve">National Organisation for </w:t>
      </w:r>
      <w:proofErr w:type="spellStart"/>
      <w:r w:rsidRPr="00D24885">
        <w:rPr>
          <w:rFonts w:asciiTheme="minorHAnsi" w:hAnsiTheme="minorHAnsi" w:cstheme="minorHAnsi"/>
          <w:lang w:val="en-AU"/>
        </w:rPr>
        <w:t>Fetal</w:t>
      </w:r>
      <w:proofErr w:type="spellEnd"/>
      <w:r w:rsidRPr="00D24885">
        <w:rPr>
          <w:rFonts w:asciiTheme="minorHAnsi" w:hAnsiTheme="minorHAnsi" w:cstheme="minorHAnsi"/>
          <w:lang w:val="en-AU"/>
        </w:rPr>
        <w:t xml:space="preserve"> Alcohol Spectrum Disorder (NOFASD)</w:t>
      </w:r>
    </w:p>
    <w:p w14:paraId="2EBB22FF" w14:textId="77777777" w:rsidR="0043611F" w:rsidRPr="00D24885" w:rsidRDefault="0043611F" w:rsidP="00B95C54">
      <w:pPr>
        <w:pStyle w:val="ListParagraph"/>
        <w:numPr>
          <w:ilvl w:val="0"/>
          <w:numId w:val="3"/>
        </w:numPr>
        <w:spacing w:before="0" w:after="0" w:line="240" w:lineRule="auto"/>
        <w:rPr>
          <w:rFonts w:asciiTheme="minorHAnsi" w:hAnsiTheme="minorHAnsi" w:cstheme="minorHAnsi"/>
          <w:lang w:val="en-AU"/>
        </w:rPr>
      </w:pPr>
      <w:r w:rsidRPr="00D24885">
        <w:rPr>
          <w:rFonts w:asciiTheme="minorHAnsi" w:hAnsiTheme="minorHAnsi" w:cstheme="minorHAnsi"/>
          <w:lang w:val="en-AU"/>
        </w:rPr>
        <w:t>Star Victoria</w:t>
      </w:r>
    </w:p>
    <w:p w14:paraId="5C3A6933" w14:textId="77777777" w:rsidR="0043611F" w:rsidRPr="00D24885" w:rsidRDefault="0043611F" w:rsidP="00B95C54">
      <w:pPr>
        <w:pStyle w:val="ListParagraph"/>
        <w:numPr>
          <w:ilvl w:val="0"/>
          <w:numId w:val="3"/>
        </w:numPr>
        <w:spacing w:before="0" w:after="0" w:line="240" w:lineRule="auto"/>
        <w:rPr>
          <w:rFonts w:asciiTheme="minorHAnsi" w:hAnsiTheme="minorHAnsi" w:cstheme="minorHAnsi"/>
          <w:lang w:val="en-AU"/>
        </w:rPr>
      </w:pPr>
      <w:r w:rsidRPr="00D24885">
        <w:rPr>
          <w:rFonts w:asciiTheme="minorHAnsi" w:hAnsiTheme="minorHAnsi" w:cstheme="minorHAnsi"/>
          <w:lang w:val="en-AU"/>
        </w:rPr>
        <w:t>TASC National Limited</w:t>
      </w:r>
    </w:p>
    <w:p w14:paraId="47E2BE31" w14:textId="77777777" w:rsidR="0043611F" w:rsidRPr="00D24885" w:rsidRDefault="0043611F" w:rsidP="00B95C54">
      <w:pPr>
        <w:pStyle w:val="ListParagraph"/>
        <w:numPr>
          <w:ilvl w:val="0"/>
          <w:numId w:val="3"/>
        </w:numPr>
        <w:spacing w:before="0" w:after="0" w:line="240" w:lineRule="auto"/>
        <w:rPr>
          <w:rFonts w:asciiTheme="minorHAnsi" w:hAnsiTheme="minorHAnsi" w:cstheme="minorHAnsi"/>
          <w:lang w:val="en-AU"/>
        </w:rPr>
      </w:pPr>
      <w:r w:rsidRPr="00D24885">
        <w:rPr>
          <w:rFonts w:asciiTheme="minorHAnsi" w:hAnsiTheme="minorHAnsi" w:cstheme="minorHAnsi"/>
          <w:lang w:val="en-AU"/>
        </w:rPr>
        <w:t xml:space="preserve">YDAS – Youth Disability Advocacy Service </w:t>
      </w:r>
    </w:p>
    <w:p w14:paraId="60A73085" w14:textId="77777777" w:rsidR="0043611F" w:rsidRPr="00D24885" w:rsidRDefault="0043611F" w:rsidP="0043611F">
      <w:pPr>
        <w:spacing w:after="0" w:line="240" w:lineRule="auto"/>
        <w:jc w:val="center"/>
        <w:rPr>
          <w:rFonts w:asciiTheme="minorHAnsi" w:hAnsiTheme="minorHAnsi" w:cstheme="minorHAnsi"/>
          <w:lang w:val="en-AU" w:eastAsia="en-AU"/>
        </w:rPr>
      </w:pPr>
    </w:p>
    <w:p w14:paraId="2FD2A308" w14:textId="4E743875" w:rsidR="005318B2" w:rsidRPr="00D24885" w:rsidRDefault="008E7EA5" w:rsidP="00187DA1">
      <w:pPr>
        <w:spacing w:after="0" w:line="240" w:lineRule="auto"/>
        <w:jc w:val="center"/>
        <w:rPr>
          <w:rFonts w:asciiTheme="minorHAnsi" w:hAnsiTheme="minorHAnsi" w:cstheme="minorHAnsi"/>
          <w:lang w:val="en-AU"/>
        </w:rPr>
      </w:pPr>
      <w:r w:rsidRPr="00D24885">
        <w:rPr>
          <w:rFonts w:asciiTheme="minorHAnsi" w:hAnsiTheme="minorHAnsi" w:cstheme="minorHAnsi"/>
          <w:noProof/>
          <w:lang w:val="en-AU" w:eastAsia="en-AU"/>
        </w:rPr>
        <w:lastRenderedPageBreak/>
        <mc:AlternateContent>
          <mc:Choice Requires="wps">
            <w:drawing>
              <wp:anchor distT="0" distB="0" distL="114300" distR="114300" simplePos="0" relativeHeight="251667456" behindDoc="0" locked="0" layoutInCell="1" allowOverlap="1" wp14:anchorId="16578E4F" wp14:editId="03C86A63">
                <wp:simplePos x="0" y="0"/>
                <wp:positionH relativeFrom="column">
                  <wp:posOffset>4921250</wp:posOffset>
                </wp:positionH>
                <wp:positionV relativeFrom="paragraph">
                  <wp:posOffset>3549650</wp:posOffset>
                </wp:positionV>
                <wp:extent cx="1003300" cy="603250"/>
                <wp:effectExtent l="0" t="0" r="6350" b="6350"/>
                <wp:wrapNone/>
                <wp:docPr id="4" name="Rectangle 4"/>
                <wp:cNvGraphicFramePr/>
                <a:graphic xmlns:a="http://schemas.openxmlformats.org/drawingml/2006/main">
                  <a:graphicData uri="http://schemas.microsoft.com/office/word/2010/wordprocessingShape">
                    <wps:wsp>
                      <wps:cNvSpPr/>
                      <wps:spPr>
                        <a:xfrm>
                          <a:off x="0" y="0"/>
                          <a:ext cx="1003300" cy="603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8007D6" id="Rectangle 4" o:spid="_x0000_s1026" style="position:absolute;margin-left:387.5pt;margin-top:279.5pt;width:79pt;height: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" fillcolor="white [3212]" stroked="f" strokeweight="1pt"/>
            </w:pict>
          </mc:Fallback>
        </mc:AlternateContent>
      </w:r>
      <w:r w:rsidR="0043611F" w:rsidRPr="00D24885">
        <w:rPr>
          <w:rFonts w:asciiTheme="minorHAnsi" w:hAnsiTheme="minorHAnsi" w:cstheme="minorHAnsi"/>
          <w:noProof/>
          <w:lang w:val="en-AU" w:eastAsia="en-AU"/>
        </w:rPr>
        <w:drawing>
          <wp:inline distT="0" distB="0" distL="0" distR="0" wp14:anchorId="129D70C1" wp14:editId="3CFB4480">
            <wp:extent cx="6116955" cy="488696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16955" cy="4886960"/>
                    </a:xfrm>
                    <a:prstGeom prst="rect">
                      <a:avLst/>
                    </a:prstGeom>
                  </pic:spPr>
                </pic:pic>
              </a:graphicData>
            </a:graphic>
          </wp:inline>
        </w:drawing>
      </w:r>
    </w:p>
    <w:p w14:paraId="05D376F6" w14:textId="4D39FF28" w:rsidR="005318B2" w:rsidRPr="00D24885" w:rsidRDefault="005318B2" w:rsidP="005318B2">
      <w:pPr>
        <w:rPr>
          <w:lang w:val="en-AU" w:eastAsia="zh-CN"/>
        </w:rPr>
      </w:pPr>
    </w:p>
    <w:p w14:paraId="2FC3AE8B" w14:textId="03C8FA7C" w:rsidR="0043611F" w:rsidRPr="00D24885" w:rsidRDefault="0043611F" w:rsidP="00B16458">
      <w:pPr>
        <w:pStyle w:val="HeadingNew"/>
        <w:rPr>
          <w:lang w:val="en-AU"/>
        </w:rPr>
      </w:pPr>
      <w:r w:rsidRPr="00D24885">
        <w:rPr>
          <w:lang w:val="en-AU"/>
        </w:rPr>
        <w:lastRenderedPageBreak/>
        <w:t>Acknowledgements</w:t>
      </w:r>
      <w:r w:rsidRPr="00D24885">
        <w:rPr>
          <w:rFonts w:asciiTheme="minorHAnsi" w:hAnsiTheme="minorHAnsi" w:cstheme="minorHAnsi"/>
          <w:lang w:val="en-AU"/>
        </w:rPr>
        <w:br/>
      </w:r>
      <w:r w:rsidR="00B16458" w:rsidRPr="00D24885">
        <w:rPr>
          <w:rFonts w:ascii="Calibri" w:hAnsi="Calibri" w:cs="Calibri"/>
          <w:b w:val="0"/>
          <w:bCs/>
          <w:color w:val="auto"/>
          <w:sz w:val="24"/>
          <w:lang w:val="en-AU"/>
        </w:rPr>
        <w:br/>
      </w:r>
      <w:r w:rsidRPr="00D24885">
        <w:rPr>
          <w:rFonts w:ascii="Calibri" w:hAnsi="Calibri" w:cs="Calibri"/>
          <w:b w:val="0"/>
          <w:bCs/>
          <w:color w:val="auto"/>
          <w:sz w:val="24"/>
          <w:lang w:val="en-AU"/>
        </w:rPr>
        <w:t xml:space="preserve">AFDO acknowledges Aboriginal and Torres Strait Islander people as the traditional custodians of the land on which we stand, recognising their continuing connection to land, waters, and community. From our head office in Melbourne, we pay our respects to the Bunurong Boon Wurrung and Wurundjeri </w:t>
      </w:r>
      <w:proofErr w:type="spellStart"/>
      <w:r w:rsidRPr="00D24885">
        <w:rPr>
          <w:rFonts w:ascii="Calibri" w:hAnsi="Calibri" w:cs="Calibri"/>
          <w:b w:val="0"/>
          <w:bCs/>
          <w:color w:val="auto"/>
          <w:sz w:val="24"/>
          <w:lang w:val="en-AU"/>
        </w:rPr>
        <w:t>Woi</w:t>
      </w:r>
      <w:proofErr w:type="spellEnd"/>
      <w:r w:rsidRPr="00D24885">
        <w:rPr>
          <w:rFonts w:ascii="Calibri" w:hAnsi="Calibri" w:cs="Calibri"/>
          <w:b w:val="0"/>
          <w:bCs/>
          <w:color w:val="auto"/>
          <w:sz w:val="24"/>
          <w:lang w:val="en-AU"/>
        </w:rPr>
        <w:t xml:space="preserve"> Wurrung peoples of the Eastern Kulin Nation and to their Elders past, present, and emerging. We also pay our respects to the traditional owners of all lands on which we operate or meet around the country.</w:t>
      </w:r>
    </w:p>
    <w:p w14:paraId="3C8EF398" w14:textId="31B2033C" w:rsidR="0043611F" w:rsidRPr="00D24885" w:rsidRDefault="0043611F" w:rsidP="0043611F">
      <w:pPr>
        <w:rPr>
          <w:rFonts w:asciiTheme="minorHAnsi" w:hAnsiTheme="minorHAnsi" w:cstheme="minorHAnsi"/>
          <w:kern w:val="0"/>
          <w:sz w:val="22"/>
          <w:szCs w:val="22"/>
          <w:lang w:val="en-AU"/>
        </w:rPr>
      </w:pPr>
      <w:r w:rsidRPr="00D24885">
        <w:rPr>
          <w:rFonts w:asciiTheme="minorHAnsi" w:hAnsiTheme="minorHAnsi" w:cstheme="minorHAnsi"/>
          <w:lang w:val="en-AU"/>
        </w:rPr>
        <w:t xml:space="preserve">AFDO acknowledges people with disability, </w:t>
      </w:r>
      <w:r w:rsidRPr="00D24885">
        <w:rPr>
          <w:rFonts w:asciiTheme="minorHAnsi" w:hAnsiTheme="minorHAnsi" w:cstheme="minorHAnsi"/>
          <w:iCs/>
          <w:lang w:val="en-AU"/>
        </w:rPr>
        <w:t>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r w:rsidR="003D4F54" w:rsidRPr="00D24885">
        <w:rPr>
          <w:rFonts w:asciiTheme="minorHAnsi" w:hAnsiTheme="minorHAnsi" w:cstheme="minorHAnsi"/>
          <w:kern w:val="0"/>
          <w:sz w:val="22"/>
          <w:szCs w:val="22"/>
          <w:lang w:val="en-AU"/>
        </w:rPr>
        <w:br/>
      </w:r>
    </w:p>
    <w:p w14:paraId="5A9A98A8" w14:textId="77777777" w:rsidR="00BB59B8" w:rsidRDefault="00534DBA" w:rsidP="00CF478E">
      <w:pPr>
        <w:rPr>
          <w:rFonts w:asciiTheme="minorHAnsi" w:hAnsiTheme="minorHAnsi" w:cstheme="minorHAnsi"/>
          <w:b/>
          <w:bCs/>
          <w:lang w:val="en-AU"/>
        </w:rPr>
      </w:pPr>
      <w:r w:rsidRPr="00D24885">
        <w:rPr>
          <w:rFonts w:asciiTheme="minorHAnsi" w:hAnsiTheme="minorHAnsi" w:cstheme="minorHAnsi"/>
          <w:b/>
          <w:bCs/>
          <w:lang w:val="en-AU"/>
        </w:rPr>
        <w:t>Report Author:</w:t>
      </w:r>
      <w:r w:rsidRPr="00D24885">
        <w:rPr>
          <w:rFonts w:asciiTheme="minorHAnsi" w:hAnsiTheme="minorHAnsi" w:cstheme="minorHAnsi"/>
          <w:lang w:val="en-AU"/>
        </w:rPr>
        <w:t xml:space="preserve"> </w:t>
      </w:r>
      <w:r w:rsidR="00767D00" w:rsidRPr="00CF478E">
        <w:rPr>
          <w:rFonts w:asciiTheme="minorHAnsi" w:hAnsiTheme="minorHAnsi" w:cstheme="minorHAnsi"/>
          <w:lang w:val="en-AU"/>
        </w:rPr>
        <w:t>Rebecca Rudd,</w:t>
      </w:r>
      <w:r w:rsidR="00767D00" w:rsidRPr="00D24885">
        <w:rPr>
          <w:rFonts w:asciiTheme="minorHAnsi" w:hAnsiTheme="minorHAnsi" w:cstheme="minorHAnsi"/>
          <w:lang w:val="en-AU"/>
        </w:rPr>
        <w:t xml:space="preserve"> </w:t>
      </w:r>
      <w:r w:rsidR="00767D00" w:rsidRPr="00D24885">
        <w:rPr>
          <w:rFonts w:asciiTheme="minorHAnsi" w:hAnsiTheme="minorHAnsi" w:cstheme="minorHAnsi"/>
          <w:color w:val="31767F"/>
          <w:lang w:val="en-AU" w:eastAsia="en-AU"/>
        </w:rPr>
        <w:t>Coordinator – Policy and Submissions</w:t>
      </w:r>
      <w:r w:rsidR="003D4F54" w:rsidRPr="00D24885">
        <w:rPr>
          <w:rFonts w:asciiTheme="minorHAnsi" w:hAnsiTheme="minorHAnsi" w:cstheme="minorHAnsi"/>
          <w:lang w:val="en-AU"/>
        </w:rPr>
        <w:br/>
      </w:r>
    </w:p>
    <w:p w14:paraId="0BC78E0C" w14:textId="0C816209" w:rsidR="00CF478E" w:rsidRPr="00CF478E" w:rsidRDefault="0010484D" w:rsidP="00CF478E">
      <w:pPr>
        <w:rPr>
          <w:rFonts w:asciiTheme="minorHAnsi" w:hAnsiTheme="minorHAnsi" w:cstheme="minorHAnsi"/>
          <w:color w:val="31767F"/>
          <w:lang w:eastAsia="en-AU"/>
        </w:rPr>
      </w:pPr>
      <w:r w:rsidRPr="00D24885">
        <w:rPr>
          <w:rFonts w:asciiTheme="minorHAnsi" w:hAnsiTheme="minorHAnsi" w:cstheme="minorHAnsi"/>
          <w:b/>
          <w:bCs/>
          <w:lang w:val="en-AU"/>
        </w:rPr>
        <w:t xml:space="preserve">Review </w:t>
      </w:r>
      <w:r w:rsidR="00AB72F7" w:rsidRPr="00D24885">
        <w:rPr>
          <w:rFonts w:asciiTheme="minorHAnsi" w:hAnsiTheme="minorHAnsi" w:cstheme="minorHAnsi"/>
          <w:b/>
          <w:bCs/>
          <w:lang w:val="en-AU"/>
        </w:rPr>
        <w:t>Team</w:t>
      </w:r>
      <w:r w:rsidRPr="00D24885">
        <w:rPr>
          <w:rFonts w:asciiTheme="minorHAnsi" w:hAnsiTheme="minorHAnsi" w:cstheme="minorHAnsi"/>
          <w:b/>
          <w:bCs/>
          <w:lang w:val="en-AU"/>
        </w:rPr>
        <w:t>:</w:t>
      </w:r>
      <w:r w:rsidR="00CF478E">
        <w:rPr>
          <w:rFonts w:asciiTheme="minorHAnsi" w:hAnsiTheme="minorHAnsi" w:cstheme="minorHAnsi"/>
          <w:b/>
          <w:bCs/>
          <w:lang w:val="en-AU"/>
        </w:rPr>
        <w:t xml:space="preserve"> </w:t>
      </w:r>
      <w:r w:rsidR="00CF478E" w:rsidRPr="00CF478E">
        <w:rPr>
          <w:rFonts w:asciiTheme="minorHAnsi" w:hAnsiTheme="minorHAnsi" w:cstheme="minorHAnsi"/>
          <w:lang w:val="en-AU"/>
        </w:rPr>
        <w:t xml:space="preserve">Ross Joyce, </w:t>
      </w:r>
      <w:r w:rsidR="00CF478E" w:rsidRPr="00567E30">
        <w:rPr>
          <w:rFonts w:asciiTheme="minorHAnsi" w:hAnsiTheme="minorHAnsi" w:cstheme="minorHAnsi"/>
          <w:color w:val="31767F"/>
          <w:lang w:eastAsia="en-AU"/>
        </w:rPr>
        <w:t>Chief Executive Officer</w:t>
      </w:r>
      <w:r w:rsidR="00CF478E">
        <w:rPr>
          <w:rFonts w:asciiTheme="minorHAnsi" w:hAnsiTheme="minorHAnsi" w:cstheme="minorHAnsi"/>
          <w:color w:val="31767F"/>
          <w:lang w:eastAsia="en-AU"/>
        </w:rPr>
        <w:br/>
        <w:t xml:space="preserve">                          </w:t>
      </w:r>
      <w:r w:rsidR="00CF478E" w:rsidRPr="00567E30">
        <w:rPr>
          <w:rFonts w:asciiTheme="minorHAnsi" w:hAnsiTheme="minorHAnsi" w:cstheme="minorHAnsi"/>
          <w:lang w:val="en-AU"/>
        </w:rPr>
        <w:t xml:space="preserve">Nick Wilson, </w:t>
      </w:r>
      <w:r w:rsidR="00CF478E" w:rsidRPr="00567E30">
        <w:rPr>
          <w:rFonts w:asciiTheme="minorHAnsi" w:hAnsiTheme="minorHAnsi" w:cstheme="minorHAnsi"/>
          <w:color w:val="31767F"/>
          <w:lang w:eastAsia="en-AU"/>
        </w:rPr>
        <w:t>Policy &amp; Advocacy Officer</w:t>
      </w:r>
      <w:r w:rsidR="00CF478E" w:rsidRPr="00567E30">
        <w:rPr>
          <w:rFonts w:asciiTheme="minorHAnsi" w:hAnsiTheme="minorHAnsi" w:cstheme="minorHAnsi"/>
          <w:b/>
          <w:bCs/>
          <w:color w:val="31767F"/>
          <w:lang w:eastAsia="en-AU"/>
        </w:rPr>
        <w:t xml:space="preserve"> </w:t>
      </w:r>
    </w:p>
    <w:p w14:paraId="4E27B865" w14:textId="77777777" w:rsidR="00BB59B8" w:rsidRDefault="00BB59B8" w:rsidP="00BB59B8">
      <w:pPr>
        <w:rPr>
          <w:rFonts w:asciiTheme="minorHAnsi" w:hAnsiTheme="minorHAnsi" w:cstheme="minorHAnsi"/>
          <w:b/>
          <w:bCs/>
          <w:iCs/>
          <w:lang w:val="en-AU"/>
        </w:rPr>
      </w:pPr>
    </w:p>
    <w:p w14:paraId="5C3AD688" w14:textId="77DF575E" w:rsidR="00BB59B8" w:rsidRPr="00BB59B8" w:rsidRDefault="00BB59B8" w:rsidP="00BB59B8">
      <w:pPr>
        <w:rPr>
          <w:rFonts w:asciiTheme="minorHAnsi" w:hAnsiTheme="minorHAnsi" w:cstheme="minorHAnsi"/>
          <w:b/>
          <w:bCs/>
          <w:iCs/>
          <w:lang w:val="en-AU"/>
        </w:rPr>
      </w:pPr>
      <w:r w:rsidRPr="00BB59B8">
        <w:rPr>
          <w:rFonts w:asciiTheme="minorHAnsi" w:hAnsiTheme="minorHAnsi" w:cstheme="minorHAnsi"/>
          <w:b/>
          <w:bCs/>
          <w:iCs/>
          <w:lang w:val="en-AU"/>
        </w:rPr>
        <w:t xml:space="preserve">Report Contribution Acknowledgement: </w:t>
      </w:r>
    </w:p>
    <w:p w14:paraId="7BE5668E" w14:textId="4D54B762" w:rsidR="00AB72F7" w:rsidRPr="00BB59B8" w:rsidRDefault="00BB59B8" w:rsidP="00BB59B8">
      <w:pPr>
        <w:rPr>
          <w:rFonts w:asciiTheme="minorHAnsi" w:hAnsiTheme="minorHAnsi" w:cstheme="minorHAnsi"/>
          <w:iCs/>
          <w:lang w:val="en-AU"/>
        </w:rPr>
      </w:pPr>
      <w:r w:rsidRPr="00BB59B8">
        <w:rPr>
          <w:rFonts w:asciiTheme="minorHAnsi" w:hAnsiTheme="minorHAnsi" w:cstheme="minorHAnsi"/>
          <w:iCs/>
          <w:lang w:val="en-AU"/>
        </w:rPr>
        <w:t>AFDO recognises and thanks its membership for contributing their invaluable expertise, as well as their respective membership</w:t>
      </w:r>
      <w:r w:rsidR="005369CE">
        <w:rPr>
          <w:rFonts w:asciiTheme="minorHAnsi" w:hAnsiTheme="minorHAnsi" w:cstheme="minorHAnsi"/>
          <w:iCs/>
          <w:lang w:val="en-AU"/>
        </w:rPr>
        <w:t>s’</w:t>
      </w:r>
      <w:r w:rsidRPr="00BB59B8">
        <w:rPr>
          <w:rFonts w:asciiTheme="minorHAnsi" w:hAnsiTheme="minorHAnsi" w:cstheme="minorHAnsi"/>
          <w:iCs/>
          <w:lang w:val="en-AU"/>
        </w:rPr>
        <w:t xml:space="preserve"> lived experience and expertise</w:t>
      </w:r>
      <w:r w:rsidR="005369CE">
        <w:rPr>
          <w:rFonts w:asciiTheme="minorHAnsi" w:hAnsiTheme="minorHAnsi" w:cstheme="minorHAnsi"/>
          <w:iCs/>
          <w:lang w:val="en-AU"/>
        </w:rPr>
        <w:t>,</w:t>
      </w:r>
      <w:r w:rsidRPr="00BB59B8">
        <w:rPr>
          <w:rFonts w:asciiTheme="minorHAnsi" w:hAnsiTheme="minorHAnsi" w:cstheme="minorHAnsi"/>
          <w:iCs/>
          <w:lang w:val="en-AU"/>
        </w:rPr>
        <w:t xml:space="preserve"> into this submission.</w:t>
      </w:r>
    </w:p>
    <w:p w14:paraId="400C63D3" w14:textId="77777777" w:rsidR="00AB72F7" w:rsidRPr="00D24885" w:rsidRDefault="00AB72F7" w:rsidP="0043611F">
      <w:pPr>
        <w:rPr>
          <w:rFonts w:asciiTheme="minorHAnsi" w:hAnsiTheme="minorHAnsi" w:cstheme="minorHAnsi"/>
          <w:b/>
          <w:bCs/>
          <w:sz w:val="28"/>
          <w:szCs w:val="28"/>
          <w:lang w:val="en-AU"/>
        </w:rPr>
      </w:pPr>
    </w:p>
    <w:p w14:paraId="73A1AAB4" w14:textId="1C1EBAEC" w:rsidR="0043611F" w:rsidRPr="00D24885" w:rsidRDefault="0043611F" w:rsidP="0043611F">
      <w:pPr>
        <w:rPr>
          <w:rFonts w:asciiTheme="minorHAnsi" w:hAnsiTheme="minorHAnsi" w:cstheme="minorHAnsi"/>
          <w:lang w:val="en-AU"/>
        </w:rPr>
      </w:pPr>
    </w:p>
    <w:p w14:paraId="61F5A934" w14:textId="286915F2" w:rsidR="0043611F" w:rsidRPr="00D24885" w:rsidRDefault="0043611F" w:rsidP="0043611F">
      <w:pPr>
        <w:rPr>
          <w:rFonts w:asciiTheme="minorHAnsi" w:hAnsiTheme="minorHAnsi" w:cstheme="minorHAnsi"/>
          <w:lang w:val="en-AU"/>
        </w:rPr>
      </w:pPr>
    </w:p>
    <w:p w14:paraId="627BA786" w14:textId="3CD6ABE0" w:rsidR="0043611F" w:rsidRPr="00D24885" w:rsidRDefault="0043611F" w:rsidP="0043611F">
      <w:pPr>
        <w:rPr>
          <w:rFonts w:asciiTheme="minorHAnsi" w:hAnsiTheme="minorHAnsi" w:cstheme="minorHAnsi"/>
          <w:lang w:val="en-AU"/>
        </w:rPr>
      </w:pPr>
    </w:p>
    <w:p w14:paraId="134F5F29" w14:textId="0F1A1AC9" w:rsidR="005318B2" w:rsidRPr="00D24885" w:rsidRDefault="005318B2" w:rsidP="0043611F">
      <w:pPr>
        <w:rPr>
          <w:rFonts w:asciiTheme="minorHAnsi" w:hAnsiTheme="minorHAnsi" w:cstheme="minorHAnsi"/>
          <w:lang w:val="en-AU"/>
        </w:rPr>
      </w:pPr>
    </w:p>
    <w:p w14:paraId="4911858E" w14:textId="403D769F" w:rsidR="003A692C" w:rsidRPr="00D24885" w:rsidRDefault="003A692C" w:rsidP="0043611F">
      <w:pPr>
        <w:rPr>
          <w:rFonts w:asciiTheme="minorHAnsi" w:hAnsiTheme="minorHAnsi" w:cstheme="minorHAnsi"/>
          <w:lang w:val="en-AU"/>
        </w:rPr>
      </w:pPr>
    </w:p>
    <w:p w14:paraId="54D95AFB" w14:textId="2BE8DD5A" w:rsidR="00026B87" w:rsidRPr="00D24885" w:rsidRDefault="00026B87" w:rsidP="00C571A0">
      <w:pPr>
        <w:rPr>
          <w:rFonts w:asciiTheme="minorHAnsi" w:hAnsiTheme="minorHAnsi" w:cstheme="minorHAnsi"/>
          <w:lang w:val="en-AU" w:eastAsia="zh-CN"/>
        </w:rPr>
      </w:pPr>
    </w:p>
    <w:p w14:paraId="259C5F1A" w14:textId="70C9420B" w:rsidR="008B12FD" w:rsidRPr="00D24885" w:rsidRDefault="00155801" w:rsidP="00AF2BFF">
      <w:pPr>
        <w:pStyle w:val="HeadingNew"/>
        <w:rPr>
          <w:lang w:val="en-AU" w:eastAsia="zh-CN"/>
        </w:rPr>
      </w:pPr>
      <w:r w:rsidRPr="00D24885">
        <w:rPr>
          <w:lang w:val="en-AU" w:eastAsia="zh-CN"/>
        </w:rPr>
        <w:lastRenderedPageBreak/>
        <w:t>Recommendations</w:t>
      </w:r>
    </w:p>
    <w:p w14:paraId="27CE8A87" w14:textId="55A45877" w:rsidR="00864244" w:rsidRPr="00AD3B4B" w:rsidRDefault="00864244" w:rsidP="00AD3B4B">
      <w:pPr>
        <w:pStyle w:val="ListParagraph"/>
        <w:numPr>
          <w:ilvl w:val="0"/>
          <w:numId w:val="38"/>
        </w:numPr>
        <w:rPr>
          <w:rFonts w:asciiTheme="minorHAnsi" w:hAnsiTheme="minorHAnsi" w:cstheme="minorHAnsi"/>
          <w:lang w:val="en-AU"/>
        </w:rPr>
      </w:pPr>
      <w:r w:rsidRPr="00AD3B4B">
        <w:rPr>
          <w:rFonts w:asciiTheme="minorHAnsi" w:hAnsiTheme="minorHAnsi" w:cstheme="minorHAnsi"/>
          <w:lang w:val="en-AU"/>
        </w:rPr>
        <w:t xml:space="preserve"> </w:t>
      </w:r>
      <w:r w:rsidR="00A16AA1" w:rsidRPr="00AD3B4B">
        <w:rPr>
          <w:rFonts w:asciiTheme="minorHAnsi" w:hAnsiTheme="minorHAnsi" w:cstheme="minorHAnsi"/>
          <w:lang w:val="en-AU"/>
        </w:rPr>
        <w:t>Th</w:t>
      </w:r>
      <w:r w:rsidR="00C60EC4" w:rsidRPr="00AD3B4B">
        <w:rPr>
          <w:rFonts w:asciiTheme="minorHAnsi" w:hAnsiTheme="minorHAnsi" w:cstheme="minorHAnsi"/>
          <w:lang w:val="en-AU"/>
        </w:rPr>
        <w:t xml:space="preserve">at the </w:t>
      </w:r>
      <w:r w:rsidR="00DD00DA" w:rsidRPr="00AD3B4B">
        <w:rPr>
          <w:rFonts w:asciiTheme="minorHAnsi" w:hAnsiTheme="minorHAnsi" w:cstheme="minorHAnsi"/>
          <w:lang w:val="en-AU"/>
        </w:rPr>
        <w:t xml:space="preserve">federal government </w:t>
      </w:r>
      <w:r w:rsidRPr="00AD3B4B">
        <w:rPr>
          <w:rFonts w:asciiTheme="minorHAnsi" w:hAnsiTheme="minorHAnsi" w:cstheme="minorHAnsi"/>
          <w:lang w:val="en-AU"/>
        </w:rPr>
        <w:t xml:space="preserve">take a leadership role </w:t>
      </w:r>
      <w:r w:rsidR="00DD00DA" w:rsidRPr="00AD3B4B">
        <w:rPr>
          <w:rFonts w:asciiTheme="minorHAnsi" w:hAnsiTheme="minorHAnsi" w:cstheme="minorHAnsi"/>
          <w:lang w:val="en-AU"/>
        </w:rPr>
        <w:t>in</w:t>
      </w:r>
      <w:r w:rsidRPr="00AD3B4B">
        <w:rPr>
          <w:rFonts w:asciiTheme="minorHAnsi" w:hAnsiTheme="minorHAnsi" w:cstheme="minorHAnsi"/>
          <w:lang w:val="en-AU"/>
        </w:rPr>
        <w:t xml:space="preserve"> develop</w:t>
      </w:r>
      <w:r w:rsidR="00DD00DA" w:rsidRPr="00AD3B4B">
        <w:rPr>
          <w:rFonts w:asciiTheme="minorHAnsi" w:hAnsiTheme="minorHAnsi" w:cstheme="minorHAnsi"/>
          <w:lang w:val="en-AU"/>
        </w:rPr>
        <w:t>ing</w:t>
      </w:r>
      <w:r w:rsidRPr="00AD3B4B">
        <w:rPr>
          <w:rFonts w:asciiTheme="minorHAnsi" w:hAnsiTheme="minorHAnsi" w:cstheme="minorHAnsi"/>
          <w:lang w:val="en-AU"/>
        </w:rPr>
        <w:t xml:space="preserve"> and implement</w:t>
      </w:r>
      <w:r w:rsidR="00DD00DA" w:rsidRPr="00AD3B4B">
        <w:rPr>
          <w:rFonts w:asciiTheme="minorHAnsi" w:hAnsiTheme="minorHAnsi" w:cstheme="minorHAnsi"/>
          <w:lang w:val="en-AU"/>
        </w:rPr>
        <w:t>ing</w:t>
      </w:r>
      <w:r w:rsidRPr="00AD3B4B">
        <w:rPr>
          <w:rFonts w:asciiTheme="minorHAnsi" w:hAnsiTheme="minorHAnsi" w:cstheme="minorHAnsi"/>
          <w:lang w:val="en-AU"/>
        </w:rPr>
        <w:t xml:space="preserve"> a national housing strategy with all </w:t>
      </w:r>
      <w:r w:rsidR="00C60EC4" w:rsidRPr="00AD3B4B">
        <w:rPr>
          <w:rFonts w:asciiTheme="minorHAnsi" w:hAnsiTheme="minorHAnsi" w:cstheme="minorHAnsi"/>
          <w:lang w:val="en-AU"/>
        </w:rPr>
        <w:t xml:space="preserve">state and territory </w:t>
      </w:r>
      <w:r w:rsidRPr="00AD3B4B">
        <w:rPr>
          <w:rFonts w:asciiTheme="minorHAnsi" w:hAnsiTheme="minorHAnsi" w:cstheme="minorHAnsi"/>
          <w:lang w:val="en-AU"/>
        </w:rPr>
        <w:t xml:space="preserve">governments, </w:t>
      </w:r>
      <w:r w:rsidR="00C60EC4" w:rsidRPr="00AD3B4B">
        <w:rPr>
          <w:rFonts w:asciiTheme="minorHAnsi" w:hAnsiTheme="minorHAnsi" w:cstheme="minorHAnsi"/>
          <w:lang w:val="en-AU"/>
        </w:rPr>
        <w:t xml:space="preserve">encompassing </w:t>
      </w:r>
      <w:r w:rsidRPr="00AD3B4B">
        <w:rPr>
          <w:rFonts w:asciiTheme="minorHAnsi" w:hAnsiTheme="minorHAnsi" w:cstheme="minorHAnsi"/>
          <w:lang w:val="en-AU"/>
        </w:rPr>
        <w:t>all areas of the housing market and utilis</w:t>
      </w:r>
      <w:r w:rsidR="00C60EC4" w:rsidRPr="00AD3B4B">
        <w:rPr>
          <w:rFonts w:asciiTheme="minorHAnsi" w:hAnsiTheme="minorHAnsi" w:cstheme="minorHAnsi"/>
          <w:lang w:val="en-AU"/>
        </w:rPr>
        <w:t>ing</w:t>
      </w:r>
      <w:r w:rsidRPr="00AD3B4B">
        <w:rPr>
          <w:rFonts w:asciiTheme="minorHAnsi" w:hAnsiTheme="minorHAnsi" w:cstheme="minorHAnsi"/>
          <w:lang w:val="en-AU"/>
        </w:rPr>
        <w:t xml:space="preserve"> a broad range of policy levers towards both short-term and long-term solutions.</w:t>
      </w:r>
      <w:r w:rsidR="00AD3B4B">
        <w:rPr>
          <w:rFonts w:asciiTheme="minorHAnsi" w:hAnsiTheme="minorHAnsi" w:cstheme="minorHAnsi"/>
          <w:lang w:val="en-AU"/>
        </w:rPr>
        <w:br/>
      </w:r>
    </w:p>
    <w:p w14:paraId="0D0EC812" w14:textId="77777777" w:rsidR="0087732C" w:rsidRDefault="00C60EC4" w:rsidP="00AD3B4B">
      <w:pPr>
        <w:pStyle w:val="ListParagraph"/>
        <w:numPr>
          <w:ilvl w:val="0"/>
          <w:numId w:val="38"/>
        </w:numPr>
        <w:rPr>
          <w:rFonts w:asciiTheme="minorHAnsi" w:hAnsiTheme="minorHAnsi" w:cstheme="minorHAnsi"/>
          <w:lang w:val="en-AU"/>
        </w:rPr>
      </w:pPr>
      <w:r w:rsidRPr="00AD3B4B">
        <w:rPr>
          <w:rFonts w:asciiTheme="minorHAnsi" w:hAnsiTheme="minorHAnsi" w:cstheme="minorHAnsi"/>
          <w:lang w:val="en-AU"/>
        </w:rPr>
        <w:t xml:space="preserve">That the federal government take a leadership role in ensuring </w:t>
      </w:r>
      <w:r w:rsidR="00864244" w:rsidRPr="00AD3B4B">
        <w:rPr>
          <w:rFonts w:asciiTheme="minorHAnsi" w:hAnsiTheme="minorHAnsi" w:cstheme="minorHAnsi"/>
          <w:lang w:val="en-AU"/>
        </w:rPr>
        <w:t xml:space="preserve">that all </w:t>
      </w:r>
      <w:r w:rsidRPr="00AD3B4B">
        <w:rPr>
          <w:rFonts w:asciiTheme="minorHAnsi" w:hAnsiTheme="minorHAnsi" w:cstheme="minorHAnsi"/>
          <w:lang w:val="en-AU"/>
        </w:rPr>
        <w:t xml:space="preserve">state and territory </w:t>
      </w:r>
      <w:r w:rsidR="00864244" w:rsidRPr="00AD3B4B">
        <w:rPr>
          <w:rFonts w:asciiTheme="minorHAnsi" w:hAnsiTheme="minorHAnsi" w:cstheme="minorHAnsi"/>
          <w:lang w:val="en-AU"/>
        </w:rPr>
        <w:t>governments commit to invest</w:t>
      </w:r>
      <w:r w:rsidR="00AD3B4B" w:rsidRPr="00AD3B4B">
        <w:rPr>
          <w:rFonts w:asciiTheme="minorHAnsi" w:hAnsiTheme="minorHAnsi" w:cstheme="minorHAnsi"/>
          <w:lang w:val="en-AU"/>
        </w:rPr>
        <w:t>ing</w:t>
      </w:r>
      <w:r w:rsidR="00864244" w:rsidRPr="00AD3B4B">
        <w:rPr>
          <w:rFonts w:asciiTheme="minorHAnsi" w:hAnsiTheme="minorHAnsi" w:cstheme="minorHAnsi"/>
          <w:lang w:val="en-AU"/>
        </w:rPr>
        <w:t xml:space="preserve"> in social housing to immediately increase the supply of secure</w:t>
      </w:r>
      <w:r w:rsidR="00866EA7" w:rsidRPr="00AD3B4B">
        <w:rPr>
          <w:rFonts w:asciiTheme="minorHAnsi" w:hAnsiTheme="minorHAnsi" w:cstheme="minorHAnsi"/>
          <w:lang w:val="en-AU"/>
        </w:rPr>
        <w:t xml:space="preserve">, </w:t>
      </w:r>
      <w:r w:rsidR="00864244" w:rsidRPr="00AD3B4B">
        <w:rPr>
          <w:rFonts w:asciiTheme="minorHAnsi" w:hAnsiTheme="minorHAnsi" w:cstheme="minorHAnsi"/>
          <w:lang w:val="en-AU"/>
        </w:rPr>
        <w:t>affordable</w:t>
      </w:r>
      <w:r w:rsidR="00866EA7" w:rsidRPr="00AD3B4B">
        <w:rPr>
          <w:rFonts w:asciiTheme="minorHAnsi" w:hAnsiTheme="minorHAnsi" w:cstheme="minorHAnsi"/>
          <w:lang w:val="en-AU"/>
        </w:rPr>
        <w:t>, and accessible</w:t>
      </w:r>
      <w:r w:rsidR="00864244" w:rsidRPr="00AD3B4B">
        <w:rPr>
          <w:rFonts w:asciiTheme="minorHAnsi" w:hAnsiTheme="minorHAnsi" w:cstheme="minorHAnsi"/>
          <w:lang w:val="en-AU"/>
        </w:rPr>
        <w:t xml:space="preserve"> housing over a short to medium</w:t>
      </w:r>
      <w:r w:rsidR="00866EA7" w:rsidRPr="00AD3B4B">
        <w:rPr>
          <w:rFonts w:asciiTheme="minorHAnsi" w:hAnsiTheme="minorHAnsi" w:cstheme="minorHAnsi"/>
          <w:lang w:val="en-AU"/>
        </w:rPr>
        <w:t>-</w:t>
      </w:r>
      <w:r w:rsidR="00864244" w:rsidRPr="00AD3B4B">
        <w:rPr>
          <w:rFonts w:asciiTheme="minorHAnsi" w:hAnsiTheme="minorHAnsi" w:cstheme="minorHAnsi"/>
          <w:lang w:val="en-AU"/>
        </w:rPr>
        <w:t>term timeframe.</w:t>
      </w:r>
    </w:p>
    <w:p w14:paraId="0484D36E" w14:textId="77777777" w:rsidR="0087732C" w:rsidRDefault="0087732C" w:rsidP="0087732C">
      <w:pPr>
        <w:pStyle w:val="ListParagraph"/>
        <w:numPr>
          <w:ilvl w:val="0"/>
          <w:numId w:val="0"/>
        </w:numPr>
        <w:ind w:left="720"/>
        <w:rPr>
          <w:rFonts w:asciiTheme="minorHAnsi" w:hAnsiTheme="minorHAnsi" w:cstheme="minorHAnsi"/>
          <w:lang w:val="en-AU"/>
        </w:rPr>
      </w:pPr>
      <w:r>
        <w:rPr>
          <w:rFonts w:asciiTheme="minorHAnsi" w:hAnsiTheme="minorHAnsi" w:cstheme="minorHAnsi"/>
          <w:lang w:val="en-AU"/>
        </w:rPr>
        <w:t xml:space="preserve"> </w:t>
      </w:r>
    </w:p>
    <w:p w14:paraId="76AFE425" w14:textId="460C0EB5" w:rsidR="0087732C" w:rsidRPr="0087732C" w:rsidRDefault="0087732C" w:rsidP="0087732C">
      <w:pPr>
        <w:pStyle w:val="ListParagraph"/>
        <w:numPr>
          <w:ilvl w:val="0"/>
          <w:numId w:val="38"/>
        </w:numPr>
        <w:rPr>
          <w:rFonts w:asciiTheme="minorHAnsi" w:hAnsiTheme="minorHAnsi" w:cstheme="minorHAnsi"/>
          <w:lang w:val="en-AU"/>
        </w:rPr>
      </w:pPr>
      <w:r w:rsidRPr="0087732C">
        <w:rPr>
          <w:rFonts w:asciiTheme="minorHAnsi" w:hAnsiTheme="minorHAnsi" w:cstheme="minorHAnsi"/>
          <w:lang w:val="en-AU"/>
        </w:rPr>
        <w:t xml:space="preserve">That the federal government take a leadership role in ensuring all state and territory governments commit to a </w:t>
      </w:r>
      <w:r w:rsidRPr="0087732C">
        <w:rPr>
          <w:rFonts w:asciiTheme="minorHAnsi" w:hAnsiTheme="minorHAnsi" w:cstheme="minorHAnsi"/>
          <w:lang w:val="en-AU" w:eastAsia="zh-CN"/>
        </w:rPr>
        <w:t>program to retrofit and modify a percentage of existing social housing to a minimum accessibility threshold</w:t>
      </w:r>
      <w:r>
        <w:rPr>
          <w:rFonts w:asciiTheme="minorHAnsi" w:hAnsiTheme="minorHAnsi" w:cstheme="minorHAnsi"/>
          <w:lang w:val="en-AU" w:eastAsia="zh-CN"/>
        </w:rPr>
        <w:t>,</w:t>
      </w:r>
      <w:r w:rsidRPr="0087732C">
        <w:rPr>
          <w:rFonts w:asciiTheme="minorHAnsi" w:hAnsiTheme="minorHAnsi" w:cstheme="minorHAnsi"/>
          <w:lang w:val="en-AU" w:eastAsia="zh-CN"/>
        </w:rPr>
        <w:t xml:space="preserve"> to </w:t>
      </w:r>
      <w:r w:rsidRPr="0087732C">
        <w:rPr>
          <w:rFonts w:asciiTheme="minorHAnsi" w:hAnsiTheme="minorHAnsi" w:cstheme="minorHAnsi"/>
          <w:lang w:val="en-AU"/>
        </w:rPr>
        <w:t>increase the supply of secure, affordable, and accessible housing over short to medium-term timeframe.</w:t>
      </w:r>
    </w:p>
    <w:p w14:paraId="39A5310A" w14:textId="4BE02CF8" w:rsidR="00864244" w:rsidRPr="00AD3B4B" w:rsidRDefault="00864244" w:rsidP="0087732C">
      <w:pPr>
        <w:pStyle w:val="ListParagraph"/>
        <w:numPr>
          <w:ilvl w:val="0"/>
          <w:numId w:val="0"/>
        </w:numPr>
        <w:ind w:left="720"/>
        <w:rPr>
          <w:rFonts w:asciiTheme="minorHAnsi" w:hAnsiTheme="minorHAnsi" w:cstheme="minorHAnsi"/>
          <w:lang w:val="en-AU"/>
        </w:rPr>
      </w:pPr>
    </w:p>
    <w:p w14:paraId="610D88A8" w14:textId="10A0A782" w:rsidR="00AD3B4B" w:rsidRDefault="00864244" w:rsidP="00864244">
      <w:pPr>
        <w:pStyle w:val="ListParagraph"/>
        <w:numPr>
          <w:ilvl w:val="0"/>
          <w:numId w:val="38"/>
        </w:numPr>
        <w:rPr>
          <w:rFonts w:asciiTheme="minorHAnsi" w:hAnsiTheme="minorHAnsi" w:cstheme="minorHAnsi"/>
          <w:lang w:val="en-AU"/>
        </w:rPr>
      </w:pPr>
      <w:r w:rsidRPr="00AD3B4B">
        <w:rPr>
          <w:rFonts w:asciiTheme="minorHAnsi" w:hAnsiTheme="minorHAnsi" w:cstheme="minorHAnsi"/>
          <w:lang w:val="en-AU"/>
        </w:rPr>
        <w:t>Review annually and increase Commonwealth Rent Assistance (CRA) so that it better meets the needs of all low-income renters and matches increased cost of living expenses.</w:t>
      </w:r>
      <w:r w:rsidR="00AD3B4B">
        <w:rPr>
          <w:rFonts w:asciiTheme="minorHAnsi" w:hAnsiTheme="minorHAnsi" w:cstheme="minorHAnsi"/>
          <w:lang w:val="en-AU"/>
        </w:rPr>
        <w:br/>
      </w:r>
    </w:p>
    <w:p w14:paraId="1ED523D3" w14:textId="4F5769ED" w:rsidR="00AD3B4B" w:rsidRDefault="00A61977" w:rsidP="00864244">
      <w:pPr>
        <w:pStyle w:val="ListParagraph"/>
        <w:numPr>
          <w:ilvl w:val="0"/>
          <w:numId w:val="38"/>
        </w:numPr>
        <w:rPr>
          <w:rFonts w:asciiTheme="minorHAnsi" w:hAnsiTheme="minorHAnsi" w:cstheme="minorHAnsi"/>
          <w:lang w:val="en-AU"/>
        </w:rPr>
      </w:pPr>
      <w:r w:rsidRPr="00AD3B4B">
        <w:rPr>
          <w:rFonts w:asciiTheme="minorHAnsi" w:hAnsiTheme="minorHAnsi" w:cstheme="minorHAnsi"/>
          <w:lang w:val="en-AU"/>
        </w:rPr>
        <w:t xml:space="preserve">Introduce nationally consistent rent regulation </w:t>
      </w:r>
      <w:r w:rsidR="00F45A04" w:rsidRPr="00AD3B4B">
        <w:rPr>
          <w:rFonts w:asciiTheme="minorHAnsi" w:hAnsiTheme="minorHAnsi" w:cstheme="minorHAnsi"/>
          <w:lang w:val="en-AU"/>
        </w:rPr>
        <w:t>legislation</w:t>
      </w:r>
      <w:r w:rsidR="00864244" w:rsidRPr="00AD3B4B">
        <w:rPr>
          <w:rFonts w:asciiTheme="minorHAnsi" w:hAnsiTheme="minorHAnsi" w:cstheme="minorHAnsi"/>
          <w:lang w:val="en-AU"/>
        </w:rPr>
        <w:t xml:space="preserve"> that ties the national rent price index with the median wage index and limits rent increases to once every 12 months.</w:t>
      </w:r>
      <w:r w:rsidR="00810E89">
        <w:rPr>
          <w:rFonts w:asciiTheme="minorHAnsi" w:hAnsiTheme="minorHAnsi" w:cstheme="minorHAnsi"/>
          <w:lang w:val="en-AU"/>
        </w:rPr>
        <w:br/>
      </w:r>
    </w:p>
    <w:p w14:paraId="0A1AF65A" w14:textId="77777777" w:rsidR="00810E89" w:rsidRDefault="00AD3B4B" w:rsidP="004E360C">
      <w:pPr>
        <w:pStyle w:val="ListParagraph"/>
        <w:numPr>
          <w:ilvl w:val="0"/>
          <w:numId w:val="38"/>
        </w:numPr>
        <w:rPr>
          <w:rFonts w:asciiTheme="minorHAnsi" w:hAnsiTheme="minorHAnsi" w:cstheme="minorHAnsi"/>
          <w:lang w:val="en-AU"/>
        </w:rPr>
      </w:pPr>
      <w:r w:rsidRPr="00AD3B4B">
        <w:rPr>
          <w:rFonts w:asciiTheme="minorHAnsi" w:hAnsiTheme="minorHAnsi" w:cstheme="minorHAnsi"/>
          <w:lang w:val="en-AU"/>
        </w:rPr>
        <w:t>That all states and territories commit to adopting the minimum mandatory access standards in the National Construction Code within a reasonable timeline.</w:t>
      </w:r>
      <w:r w:rsidR="00810E89">
        <w:rPr>
          <w:rFonts w:asciiTheme="minorHAnsi" w:hAnsiTheme="minorHAnsi" w:cstheme="minorHAnsi"/>
          <w:lang w:val="en-AU"/>
        </w:rPr>
        <w:br/>
      </w:r>
    </w:p>
    <w:p w14:paraId="6E852A2A" w14:textId="77777777" w:rsidR="00810E89" w:rsidRDefault="004E360C" w:rsidP="004E360C">
      <w:pPr>
        <w:pStyle w:val="ListParagraph"/>
        <w:numPr>
          <w:ilvl w:val="0"/>
          <w:numId w:val="38"/>
        </w:numPr>
        <w:rPr>
          <w:rFonts w:asciiTheme="minorHAnsi" w:hAnsiTheme="minorHAnsi" w:cstheme="minorHAnsi"/>
          <w:lang w:val="en-AU"/>
        </w:rPr>
      </w:pPr>
      <w:r w:rsidRPr="00810E89">
        <w:rPr>
          <w:rFonts w:asciiTheme="minorHAnsi" w:hAnsiTheme="minorHAnsi" w:cstheme="minorHAnsi"/>
          <w:lang w:val="en-AU"/>
        </w:rPr>
        <w:t>Establish an independent body to review and permanently increase all social security payments to above the recognised poverty line and indexed in line with wages, ensuring they are sufficient to enable all people to live with dignity and to fully participate in community, social, and economic life.</w:t>
      </w:r>
      <w:r w:rsidR="00810E89">
        <w:rPr>
          <w:rFonts w:asciiTheme="minorHAnsi" w:hAnsiTheme="minorHAnsi" w:cstheme="minorHAnsi"/>
          <w:lang w:val="en-AU"/>
        </w:rPr>
        <w:br/>
      </w:r>
    </w:p>
    <w:p w14:paraId="37484329" w14:textId="7AD59369" w:rsidR="004E360C" w:rsidRPr="00810E89" w:rsidRDefault="004E360C" w:rsidP="004E360C">
      <w:pPr>
        <w:pStyle w:val="ListParagraph"/>
        <w:numPr>
          <w:ilvl w:val="0"/>
          <w:numId w:val="38"/>
        </w:numPr>
        <w:rPr>
          <w:rFonts w:asciiTheme="minorHAnsi" w:hAnsiTheme="minorHAnsi" w:cstheme="minorHAnsi"/>
          <w:lang w:val="en-AU"/>
        </w:rPr>
      </w:pPr>
      <w:r w:rsidRPr="00810E89">
        <w:rPr>
          <w:rFonts w:asciiTheme="minorHAnsi" w:hAnsiTheme="minorHAnsi" w:cstheme="minorHAnsi"/>
          <w:lang w:val="en-AU"/>
        </w:rPr>
        <w:t xml:space="preserve">Increase income support payments – in particular, the Disability Support Pension and </w:t>
      </w:r>
      <w:proofErr w:type="spellStart"/>
      <w:r w:rsidRPr="00810E89">
        <w:rPr>
          <w:rFonts w:asciiTheme="minorHAnsi" w:hAnsiTheme="minorHAnsi" w:cstheme="minorHAnsi"/>
          <w:lang w:val="en-AU"/>
        </w:rPr>
        <w:t>JobSeeker</w:t>
      </w:r>
      <w:proofErr w:type="spellEnd"/>
      <w:r w:rsidRPr="00810E89">
        <w:rPr>
          <w:rFonts w:asciiTheme="minorHAnsi" w:hAnsiTheme="minorHAnsi" w:cstheme="minorHAnsi"/>
          <w:lang w:val="en-AU"/>
        </w:rPr>
        <w:t xml:space="preserve"> Allowance – to bring the standard of living of households with members with disability in line with the standard of living of similar households without disability.</w:t>
      </w:r>
    </w:p>
    <w:p w14:paraId="1F808144" w14:textId="38E540EE" w:rsidR="00CB783A" w:rsidRPr="00D24885" w:rsidRDefault="005369CE" w:rsidP="00CB783A">
      <w:pPr>
        <w:pStyle w:val="HeadingNew"/>
        <w:rPr>
          <w:lang w:val="en-AU" w:eastAsia="zh-CN"/>
        </w:rPr>
      </w:pPr>
      <w:r>
        <w:rPr>
          <w:lang w:val="en-AU" w:eastAsia="zh-CN"/>
        </w:rPr>
        <w:lastRenderedPageBreak/>
        <w:t>Introductory comments</w:t>
      </w:r>
    </w:p>
    <w:p w14:paraId="12F20022" w14:textId="77777777" w:rsidR="00BB59B8" w:rsidRDefault="004611D1" w:rsidP="00AA1901">
      <w:pPr>
        <w:rPr>
          <w:rFonts w:ascii="Calibri" w:hAnsi="Calibri" w:cs="Calibri"/>
          <w:lang w:val="en-AU"/>
        </w:rPr>
      </w:pPr>
      <w:r w:rsidRPr="00D24885">
        <w:rPr>
          <w:rFonts w:ascii="Calibri" w:hAnsi="Calibri" w:cs="Calibri"/>
          <w:lang w:val="en-AU"/>
        </w:rPr>
        <w:t xml:space="preserve">AFDO welcomes the opportunity to provide comment and thanks the </w:t>
      </w:r>
      <w:r w:rsidR="00132766" w:rsidRPr="00D24885">
        <w:rPr>
          <w:rFonts w:ascii="Calibri" w:hAnsi="Calibri" w:cs="Calibri"/>
          <w:lang w:val="en-AU"/>
        </w:rPr>
        <w:t>Senate Select Committee on the Cost of Living</w:t>
      </w:r>
      <w:r w:rsidRPr="00D24885">
        <w:rPr>
          <w:rFonts w:ascii="Calibri" w:hAnsi="Calibri" w:cs="Calibri"/>
          <w:lang w:val="en-AU"/>
        </w:rPr>
        <w:t xml:space="preserve"> for their consideration of this submission.</w:t>
      </w:r>
      <w:r w:rsidR="00804D01" w:rsidRPr="00D24885">
        <w:rPr>
          <w:rFonts w:ascii="Calibri" w:hAnsi="Calibri" w:cs="Calibri"/>
          <w:lang w:val="en-AU"/>
        </w:rPr>
        <w:t xml:space="preserve"> </w:t>
      </w:r>
    </w:p>
    <w:p w14:paraId="21B2B411" w14:textId="77777777" w:rsidR="00BB59B8" w:rsidRDefault="00804D01" w:rsidP="00AA1901">
      <w:pPr>
        <w:rPr>
          <w:rFonts w:ascii="Calibri" w:hAnsi="Calibri" w:cs="Calibri"/>
          <w:lang w:val="en-AU"/>
        </w:rPr>
      </w:pPr>
      <w:r w:rsidRPr="00D24885">
        <w:rPr>
          <w:rFonts w:ascii="Calibri" w:hAnsi="Calibri" w:cs="Calibri"/>
          <w:lang w:val="en-AU"/>
        </w:rPr>
        <w:t xml:space="preserve">While the </w:t>
      </w:r>
      <w:r w:rsidR="006C4BB1" w:rsidRPr="00D24885">
        <w:rPr>
          <w:rFonts w:ascii="Calibri" w:hAnsi="Calibri" w:cs="Calibri"/>
          <w:lang w:val="en-AU"/>
        </w:rPr>
        <w:t>current crisis</w:t>
      </w:r>
      <w:r w:rsidR="004A1A57" w:rsidRPr="00D24885">
        <w:rPr>
          <w:rFonts w:ascii="Calibri" w:hAnsi="Calibri" w:cs="Calibri"/>
          <w:lang w:val="en-AU"/>
        </w:rPr>
        <w:t xml:space="preserve"> </w:t>
      </w:r>
      <w:r w:rsidR="00E872FF" w:rsidRPr="00D24885">
        <w:rPr>
          <w:rFonts w:ascii="Calibri" w:hAnsi="Calibri" w:cs="Calibri"/>
          <w:lang w:val="en-AU"/>
        </w:rPr>
        <w:t xml:space="preserve">is an issue </w:t>
      </w:r>
      <w:r w:rsidR="008578CD" w:rsidRPr="00D24885">
        <w:rPr>
          <w:rFonts w:ascii="Calibri" w:hAnsi="Calibri" w:cs="Calibri"/>
          <w:lang w:val="en-AU"/>
        </w:rPr>
        <w:t>that affects all</w:t>
      </w:r>
      <w:r w:rsidR="00E872FF" w:rsidRPr="00D24885">
        <w:rPr>
          <w:rFonts w:ascii="Calibri" w:hAnsi="Calibri" w:cs="Calibri"/>
          <w:lang w:val="en-AU"/>
        </w:rPr>
        <w:t xml:space="preserve"> Australians, </w:t>
      </w:r>
      <w:r w:rsidR="006C4BB1" w:rsidRPr="00D24885">
        <w:rPr>
          <w:rFonts w:ascii="Calibri" w:hAnsi="Calibri" w:cs="Calibri"/>
          <w:lang w:val="en-AU"/>
        </w:rPr>
        <w:t>it is important to acknowledge that people with disability face additional challenges in relation to increased cost of living. Many people with disability have higher living expenses due to their need for disability-specific products and services.</w:t>
      </w:r>
      <w:r w:rsidR="00650B0E" w:rsidRPr="00D24885">
        <w:rPr>
          <w:rFonts w:ascii="Calibri" w:hAnsi="Calibri" w:cs="Calibri"/>
          <w:lang w:val="en-AU"/>
        </w:rPr>
        <w:t xml:space="preserve"> </w:t>
      </w:r>
    </w:p>
    <w:p w14:paraId="13874095" w14:textId="68FBDF4E" w:rsidR="00435E92" w:rsidRPr="00D24885" w:rsidRDefault="00650B0E" w:rsidP="00AA1901">
      <w:pPr>
        <w:rPr>
          <w:rFonts w:ascii="Calibri" w:hAnsi="Calibri" w:cs="Calibri"/>
          <w:lang w:val="en-AU"/>
        </w:rPr>
      </w:pPr>
      <w:r w:rsidRPr="00D24885">
        <w:rPr>
          <w:rFonts w:ascii="Calibri" w:hAnsi="Calibri" w:cs="Calibri"/>
          <w:lang w:val="en-AU"/>
        </w:rPr>
        <w:t xml:space="preserve">Additionally, people with disability </w:t>
      </w:r>
      <w:r w:rsidR="00E46E2F" w:rsidRPr="00D24885">
        <w:rPr>
          <w:rFonts w:ascii="Calibri" w:hAnsi="Calibri" w:cs="Calibri"/>
          <w:lang w:val="en-AU"/>
        </w:rPr>
        <w:t>are more likely to face</w:t>
      </w:r>
      <w:r w:rsidRPr="00D24885">
        <w:rPr>
          <w:rFonts w:ascii="Calibri" w:hAnsi="Calibri" w:cs="Calibri"/>
          <w:lang w:val="en-AU"/>
        </w:rPr>
        <w:t xml:space="preserve"> barriers to employment and education, </w:t>
      </w:r>
      <w:r w:rsidR="00E46E2F" w:rsidRPr="00D24885">
        <w:rPr>
          <w:rFonts w:ascii="Calibri" w:hAnsi="Calibri" w:cs="Calibri"/>
          <w:lang w:val="en-AU"/>
        </w:rPr>
        <w:t>limiting</w:t>
      </w:r>
      <w:r w:rsidRPr="00D24885">
        <w:rPr>
          <w:rFonts w:ascii="Calibri" w:hAnsi="Calibri" w:cs="Calibri"/>
          <w:lang w:val="en-AU"/>
        </w:rPr>
        <w:t xml:space="preserve"> their ability to earn a living wage and </w:t>
      </w:r>
      <w:r w:rsidR="00E46E2F" w:rsidRPr="00D24885">
        <w:rPr>
          <w:rFonts w:ascii="Calibri" w:hAnsi="Calibri" w:cs="Calibri"/>
          <w:lang w:val="en-AU"/>
        </w:rPr>
        <w:t>contributing</w:t>
      </w:r>
      <w:r w:rsidRPr="00D24885">
        <w:rPr>
          <w:rFonts w:ascii="Calibri" w:hAnsi="Calibri" w:cs="Calibri"/>
          <w:lang w:val="en-AU"/>
        </w:rPr>
        <w:t xml:space="preserve"> to financial insecurity. </w:t>
      </w:r>
      <w:r w:rsidR="00E46E2F" w:rsidRPr="00D24885">
        <w:rPr>
          <w:rFonts w:ascii="Calibri" w:hAnsi="Calibri" w:cs="Calibri"/>
          <w:lang w:val="en-AU"/>
        </w:rPr>
        <w:t>People with disability</w:t>
      </w:r>
      <w:r w:rsidRPr="00D24885">
        <w:rPr>
          <w:rFonts w:ascii="Calibri" w:hAnsi="Calibri" w:cs="Calibri"/>
          <w:lang w:val="en-AU"/>
        </w:rPr>
        <w:t xml:space="preserve"> may also experience discrimination in housing and access to public services, which can limit their ability to secure affordable housing and access essential services such as healthcare and transportation.</w:t>
      </w:r>
      <w:r w:rsidR="00317509" w:rsidRPr="00D24885">
        <w:rPr>
          <w:rFonts w:ascii="Calibri" w:hAnsi="Calibri" w:cs="Calibri"/>
          <w:lang w:val="en-AU"/>
        </w:rPr>
        <w:t xml:space="preserve"> </w:t>
      </w:r>
    </w:p>
    <w:p w14:paraId="2F6E3830" w14:textId="2336B95E" w:rsidR="00BB59B8" w:rsidRDefault="00AA1901" w:rsidP="00AA1901">
      <w:pPr>
        <w:rPr>
          <w:rFonts w:ascii="Calibri" w:hAnsi="Calibri" w:cs="Calibri"/>
          <w:lang w:val="en-AU"/>
        </w:rPr>
      </w:pPr>
      <w:r w:rsidRPr="00D24885">
        <w:rPr>
          <w:rFonts w:ascii="Calibri" w:hAnsi="Calibri" w:cs="Calibri"/>
          <w:lang w:val="en-AU"/>
        </w:rPr>
        <w:t xml:space="preserve">The purpose of this submission is to highlight </w:t>
      </w:r>
      <w:r w:rsidR="00317509" w:rsidRPr="00D24885">
        <w:rPr>
          <w:rFonts w:ascii="Calibri" w:hAnsi="Calibri" w:cs="Calibri"/>
          <w:lang w:val="en-AU"/>
        </w:rPr>
        <w:t xml:space="preserve">the experiences of people with disability </w:t>
      </w:r>
      <w:r w:rsidR="003937D2" w:rsidRPr="00D24885">
        <w:rPr>
          <w:rFonts w:ascii="Calibri" w:hAnsi="Calibri" w:cs="Calibri"/>
          <w:lang w:val="en-AU"/>
        </w:rPr>
        <w:t xml:space="preserve">during this </w:t>
      </w:r>
      <w:r w:rsidR="00BB59B8" w:rsidRPr="00D24885">
        <w:rPr>
          <w:rFonts w:ascii="Calibri" w:hAnsi="Calibri" w:cs="Calibri"/>
          <w:lang w:val="en-AU"/>
        </w:rPr>
        <w:t>cost</w:t>
      </w:r>
      <w:r w:rsidR="00DD6F21">
        <w:rPr>
          <w:rFonts w:ascii="Calibri" w:hAnsi="Calibri" w:cs="Calibri"/>
          <w:lang w:val="en-AU"/>
        </w:rPr>
        <w:t xml:space="preserve"> </w:t>
      </w:r>
      <w:r w:rsidR="00BB59B8" w:rsidRPr="00D24885">
        <w:rPr>
          <w:rFonts w:ascii="Calibri" w:hAnsi="Calibri" w:cs="Calibri"/>
          <w:lang w:val="en-AU"/>
        </w:rPr>
        <w:t>of</w:t>
      </w:r>
      <w:r w:rsidR="00DD6F21">
        <w:rPr>
          <w:rFonts w:ascii="Calibri" w:hAnsi="Calibri" w:cs="Calibri"/>
          <w:lang w:val="en-AU"/>
        </w:rPr>
        <w:t xml:space="preserve"> </w:t>
      </w:r>
      <w:r w:rsidR="00BB59B8" w:rsidRPr="00D24885">
        <w:rPr>
          <w:rFonts w:ascii="Calibri" w:hAnsi="Calibri" w:cs="Calibri"/>
          <w:lang w:val="en-AU"/>
        </w:rPr>
        <w:t>living</w:t>
      </w:r>
      <w:r w:rsidR="003937D2" w:rsidRPr="00D24885">
        <w:rPr>
          <w:rFonts w:ascii="Calibri" w:hAnsi="Calibri" w:cs="Calibri"/>
          <w:lang w:val="en-AU"/>
        </w:rPr>
        <w:t xml:space="preserve"> crisis</w:t>
      </w:r>
      <w:r w:rsidR="00B93B9A" w:rsidRPr="00D24885">
        <w:rPr>
          <w:rFonts w:ascii="Calibri" w:hAnsi="Calibri" w:cs="Calibri"/>
          <w:lang w:val="en-AU"/>
        </w:rPr>
        <w:t xml:space="preserve"> </w:t>
      </w:r>
      <w:r w:rsidR="002C59A9" w:rsidRPr="00D24885">
        <w:rPr>
          <w:rFonts w:ascii="Calibri" w:hAnsi="Calibri" w:cs="Calibri"/>
          <w:lang w:val="en-AU"/>
        </w:rPr>
        <w:t xml:space="preserve">and ensure </w:t>
      </w:r>
      <w:r w:rsidR="00BC5A6D" w:rsidRPr="00D24885">
        <w:rPr>
          <w:rFonts w:ascii="Calibri" w:hAnsi="Calibri" w:cs="Calibri"/>
          <w:lang w:val="en-AU"/>
        </w:rPr>
        <w:t>they</w:t>
      </w:r>
      <w:r w:rsidR="002C59A9" w:rsidRPr="00D24885">
        <w:rPr>
          <w:rFonts w:ascii="Calibri" w:hAnsi="Calibri" w:cs="Calibri"/>
          <w:lang w:val="en-AU"/>
        </w:rPr>
        <w:t xml:space="preserve"> are given due consideration with respect to </w:t>
      </w:r>
      <w:r w:rsidR="008014E2" w:rsidRPr="00D24885">
        <w:rPr>
          <w:rFonts w:ascii="Calibri" w:hAnsi="Calibri" w:cs="Calibri"/>
          <w:lang w:val="en-AU"/>
        </w:rPr>
        <w:t>any proposed policy solutions.</w:t>
      </w:r>
      <w:r w:rsidR="006E2BFC" w:rsidRPr="00D24885">
        <w:rPr>
          <w:rFonts w:ascii="Calibri" w:hAnsi="Calibri" w:cs="Calibri"/>
          <w:lang w:val="en-AU"/>
        </w:rPr>
        <w:t xml:space="preserve"> </w:t>
      </w:r>
    </w:p>
    <w:p w14:paraId="4D95A637" w14:textId="27FEE2F8" w:rsidR="00BB59B8" w:rsidRDefault="006E2BFC" w:rsidP="00AA1901">
      <w:pPr>
        <w:rPr>
          <w:rFonts w:ascii="Calibri" w:hAnsi="Calibri" w:cs="Calibri"/>
          <w:lang w:val="en-AU"/>
        </w:rPr>
      </w:pPr>
      <w:r w:rsidRPr="00D24885">
        <w:rPr>
          <w:rFonts w:ascii="Calibri" w:hAnsi="Calibri" w:cs="Calibri"/>
          <w:lang w:val="en-AU"/>
        </w:rPr>
        <w:t xml:space="preserve">This submission will also include two relevant </w:t>
      </w:r>
      <w:r w:rsidR="006A3E83">
        <w:rPr>
          <w:rFonts w:ascii="Calibri" w:hAnsi="Calibri" w:cs="Calibri"/>
          <w:lang w:val="en-AU"/>
        </w:rPr>
        <w:t>excerpts</w:t>
      </w:r>
      <w:r w:rsidR="00E70D02" w:rsidRPr="00D24885">
        <w:rPr>
          <w:rFonts w:ascii="Calibri" w:hAnsi="Calibri" w:cs="Calibri"/>
          <w:lang w:val="en-AU"/>
        </w:rPr>
        <w:t xml:space="preserve"> from </w:t>
      </w:r>
      <w:r w:rsidR="00E67BCB" w:rsidRPr="00D24885">
        <w:rPr>
          <w:rFonts w:ascii="Calibri" w:hAnsi="Calibri" w:cs="Calibri"/>
          <w:lang w:val="en-AU"/>
        </w:rPr>
        <w:t xml:space="preserve">AFDO’s recent </w:t>
      </w:r>
      <w:r w:rsidR="006F6B9F" w:rsidRPr="00D24885">
        <w:rPr>
          <w:rFonts w:ascii="Calibri" w:hAnsi="Calibri" w:cs="Calibri"/>
          <w:lang w:val="en-AU"/>
        </w:rPr>
        <w:t xml:space="preserve">submission to the </w:t>
      </w:r>
      <w:r w:rsidR="006F6B9F" w:rsidRPr="00D24885">
        <w:rPr>
          <w:rFonts w:asciiTheme="minorHAnsi" w:hAnsiTheme="minorHAnsi" w:cstheme="minorHAnsi"/>
          <w:lang w:val="en-AU"/>
        </w:rPr>
        <w:t xml:space="preserve">Inquiry into the extent and nature of poverty </w:t>
      </w:r>
      <w:r w:rsidR="00AC7C87" w:rsidRPr="00D24885">
        <w:rPr>
          <w:rFonts w:asciiTheme="minorHAnsi" w:hAnsiTheme="minorHAnsi" w:cstheme="minorHAnsi"/>
          <w:lang w:val="en-AU"/>
        </w:rPr>
        <w:t>–</w:t>
      </w:r>
      <w:r w:rsidR="006F6B9F" w:rsidRPr="00D24885">
        <w:rPr>
          <w:rFonts w:asciiTheme="minorHAnsi" w:hAnsiTheme="minorHAnsi" w:cstheme="minorHAnsi"/>
          <w:lang w:val="en-AU"/>
        </w:rPr>
        <w:t xml:space="preserve"> </w:t>
      </w:r>
      <w:r w:rsidR="00AC7C87" w:rsidRPr="00D24885">
        <w:rPr>
          <w:rFonts w:asciiTheme="minorHAnsi" w:hAnsiTheme="minorHAnsi" w:cstheme="minorHAnsi"/>
          <w:i/>
          <w:iCs/>
          <w:lang w:val="en-AU"/>
        </w:rPr>
        <w:t>The right to social security and social protection</w:t>
      </w:r>
      <w:r w:rsidR="00AC7C87" w:rsidRPr="00D24885">
        <w:rPr>
          <w:rFonts w:asciiTheme="minorHAnsi" w:hAnsiTheme="minorHAnsi" w:cstheme="minorHAnsi"/>
          <w:lang w:val="en-AU"/>
        </w:rPr>
        <w:t xml:space="preserve"> and </w:t>
      </w:r>
      <w:r w:rsidR="00AC7C87" w:rsidRPr="00D24885">
        <w:rPr>
          <w:rFonts w:asciiTheme="minorHAnsi" w:hAnsiTheme="minorHAnsi" w:cstheme="minorHAnsi"/>
          <w:i/>
          <w:iCs/>
          <w:lang w:val="en-AU"/>
        </w:rPr>
        <w:t>Key principles for a fair and reasonable DSP</w:t>
      </w:r>
      <w:r w:rsidR="00AC7C87" w:rsidRPr="00D24885">
        <w:rPr>
          <w:rFonts w:asciiTheme="minorHAnsi" w:hAnsiTheme="minorHAnsi" w:cstheme="minorHAnsi"/>
          <w:lang w:val="en-AU"/>
        </w:rPr>
        <w:t xml:space="preserve"> – </w:t>
      </w:r>
      <w:r w:rsidR="006F6B9F" w:rsidRPr="00D24885">
        <w:rPr>
          <w:rFonts w:asciiTheme="minorHAnsi" w:hAnsiTheme="minorHAnsi" w:cstheme="minorHAnsi"/>
          <w:lang w:val="en-AU"/>
        </w:rPr>
        <w:t>for further reference.</w:t>
      </w:r>
      <w:r w:rsidR="005728C8" w:rsidRPr="00D24885">
        <w:rPr>
          <w:rFonts w:ascii="Calibri" w:hAnsi="Calibri" w:cs="Calibri"/>
          <w:lang w:val="en-AU"/>
        </w:rPr>
        <w:br/>
      </w:r>
    </w:p>
    <w:p w14:paraId="785603DB" w14:textId="77777777" w:rsidR="00BB59B8" w:rsidRDefault="00BB59B8">
      <w:pPr>
        <w:spacing w:after="160" w:line="259" w:lineRule="auto"/>
        <w:rPr>
          <w:rFonts w:ascii="Calibri" w:hAnsi="Calibri" w:cs="Calibri"/>
          <w:lang w:val="en-AU"/>
        </w:rPr>
      </w:pPr>
      <w:r>
        <w:rPr>
          <w:rFonts w:ascii="Calibri" w:hAnsi="Calibri" w:cs="Calibri"/>
          <w:lang w:val="en-AU"/>
        </w:rPr>
        <w:br w:type="page"/>
      </w:r>
    </w:p>
    <w:p w14:paraId="659966CC" w14:textId="68BC0944" w:rsidR="00690213" w:rsidRPr="00D24885" w:rsidRDefault="00690213" w:rsidP="00BE772D">
      <w:pPr>
        <w:pStyle w:val="HeadingNew"/>
        <w:spacing w:after="120" w:line="240" w:lineRule="auto"/>
      </w:pPr>
      <w:r w:rsidRPr="00D24885">
        <w:lastRenderedPageBreak/>
        <w:t>Poverty in Australia</w:t>
      </w:r>
    </w:p>
    <w:p w14:paraId="134E0955" w14:textId="37611857" w:rsidR="00BE772D" w:rsidRDefault="005369CE" w:rsidP="005369CE">
      <w:pPr>
        <w:rPr>
          <w:rFonts w:asciiTheme="minorHAnsi" w:hAnsiTheme="minorHAnsi" w:cstheme="minorHAnsi"/>
          <w:lang w:val="en-AU"/>
        </w:rPr>
      </w:pPr>
      <w:r>
        <w:rPr>
          <w:rFonts w:asciiTheme="minorHAnsi" w:hAnsiTheme="minorHAnsi" w:cstheme="minorHAnsi"/>
          <w:lang w:val="en-AU"/>
        </w:rPr>
        <w:br/>
      </w:r>
      <w:r w:rsidR="008C49E2" w:rsidRPr="00D24885">
        <w:rPr>
          <w:rFonts w:asciiTheme="minorHAnsi" w:hAnsiTheme="minorHAnsi" w:cstheme="minorHAnsi"/>
          <w:lang w:val="en-AU"/>
        </w:rPr>
        <w:t xml:space="preserve">It is the position of AFDO that the existence of poverty in a wealthy country like Australia represents a systemic failure of government to protect its most vulnerable citizens. </w:t>
      </w:r>
    </w:p>
    <w:p w14:paraId="09062B2E" w14:textId="22EF850B" w:rsidR="00BE772D" w:rsidRPr="005369CE" w:rsidRDefault="008C49E2" w:rsidP="005369CE">
      <w:pPr>
        <w:rPr>
          <w:rFonts w:asciiTheme="minorHAnsi" w:hAnsiTheme="minorHAnsi" w:cstheme="minorHAnsi"/>
          <w:lang w:val="en-AU"/>
        </w:rPr>
      </w:pPr>
      <w:r w:rsidRPr="00D24885">
        <w:rPr>
          <w:rFonts w:asciiTheme="minorHAnsi" w:hAnsiTheme="minorHAnsi" w:cstheme="minorHAnsi"/>
          <w:lang w:val="en-AU"/>
        </w:rPr>
        <w:t xml:space="preserve">As a signatory to the </w:t>
      </w:r>
      <w:r w:rsidRPr="00D24885">
        <w:rPr>
          <w:rFonts w:asciiTheme="minorHAnsi" w:hAnsiTheme="minorHAnsi" w:cstheme="minorHAnsi"/>
          <w:i/>
          <w:iCs/>
          <w:lang w:val="en-AU"/>
        </w:rPr>
        <w:t>Convention on the Rights of Persons with Disabilities (CRPD)</w:t>
      </w:r>
      <w:r w:rsidRPr="00D24885">
        <w:rPr>
          <w:rFonts w:asciiTheme="minorHAnsi" w:hAnsiTheme="minorHAnsi" w:cstheme="minorHAnsi"/>
          <w:lang w:val="en-AU"/>
        </w:rPr>
        <w:t xml:space="preserve">, Australia is obliged to uphold the rights of people with disability, in this case, the rights to social support and social protection. Despite this obligation, there is a well-established link between poverty and disability, with the two existing in a cyclical relationship that entrenches and reinforces disadvantage across multiple spheres of life. This cycle of disadvantage drags individuals further into poverty and presents a ‘wicked problem’ that </w:t>
      </w:r>
      <w:r w:rsidR="00BB59B8">
        <w:rPr>
          <w:rFonts w:asciiTheme="minorHAnsi" w:hAnsiTheme="minorHAnsi" w:cstheme="minorHAnsi"/>
          <w:lang w:val="en-AU"/>
        </w:rPr>
        <w:t xml:space="preserve">continues to remain </w:t>
      </w:r>
      <w:r w:rsidR="00BB59B8" w:rsidRPr="00D24885">
        <w:rPr>
          <w:rFonts w:asciiTheme="minorHAnsi" w:hAnsiTheme="minorHAnsi" w:cstheme="minorHAnsi"/>
          <w:lang w:val="en-AU"/>
        </w:rPr>
        <w:t>impervious</w:t>
      </w:r>
      <w:r w:rsidRPr="00D24885">
        <w:rPr>
          <w:rFonts w:asciiTheme="minorHAnsi" w:hAnsiTheme="minorHAnsi" w:cstheme="minorHAnsi"/>
          <w:lang w:val="en-AU"/>
        </w:rPr>
        <w:t xml:space="preserve"> to many </w:t>
      </w:r>
      <w:r w:rsidR="00BB59B8">
        <w:rPr>
          <w:rFonts w:asciiTheme="minorHAnsi" w:hAnsiTheme="minorHAnsi" w:cstheme="minorHAnsi"/>
          <w:lang w:val="en-AU"/>
        </w:rPr>
        <w:t xml:space="preserve">past and present </w:t>
      </w:r>
      <w:r w:rsidRPr="00D24885">
        <w:rPr>
          <w:rFonts w:asciiTheme="minorHAnsi" w:hAnsiTheme="minorHAnsi" w:cstheme="minorHAnsi"/>
          <w:lang w:val="en-AU"/>
        </w:rPr>
        <w:t>policy solutions.</w:t>
      </w:r>
    </w:p>
    <w:p w14:paraId="69577906" w14:textId="50B9F559" w:rsidR="008C49E2" w:rsidRDefault="008C49E2" w:rsidP="005369CE">
      <w:pPr>
        <w:rPr>
          <w:rFonts w:asciiTheme="minorHAnsi" w:hAnsiTheme="minorHAnsi" w:cstheme="minorHAnsi"/>
          <w:lang w:val="en-AU"/>
        </w:rPr>
      </w:pPr>
      <w:r w:rsidRPr="00D24885">
        <w:rPr>
          <w:rFonts w:asciiTheme="minorHAnsi" w:hAnsiTheme="minorHAnsi" w:cstheme="minorHAnsi"/>
          <w:lang w:val="en-AU"/>
        </w:rPr>
        <w:t>The disproportionate impact that poverty has on people with disability is made readily apparent by the available data. When speaking of the Australian population in general, most recent figures cite 13.4% or 3.3 million people as living in poverty.</w:t>
      </w:r>
      <w:r w:rsidRPr="00D24885">
        <w:rPr>
          <w:rStyle w:val="FootnoteReference"/>
          <w:rFonts w:asciiTheme="minorHAnsi" w:hAnsiTheme="minorHAnsi" w:cstheme="minorHAnsi"/>
          <w:lang w:val="en-AU"/>
        </w:rPr>
        <w:footnoteReference w:id="2"/>
      </w:r>
      <w:r w:rsidRPr="00D24885">
        <w:rPr>
          <w:rFonts w:asciiTheme="minorHAnsi" w:hAnsiTheme="minorHAnsi" w:cstheme="minorHAnsi"/>
          <w:lang w:val="en-AU"/>
        </w:rPr>
        <w:t xml:space="preserve"> </w:t>
      </w:r>
      <w:r w:rsidR="00BB59B8">
        <w:rPr>
          <w:rFonts w:asciiTheme="minorHAnsi" w:hAnsiTheme="minorHAnsi" w:cstheme="minorHAnsi"/>
          <w:lang w:val="en-AU"/>
        </w:rPr>
        <w:t xml:space="preserve"> But, a</w:t>
      </w:r>
      <w:r w:rsidRPr="00D24885">
        <w:rPr>
          <w:rFonts w:asciiTheme="minorHAnsi" w:hAnsiTheme="minorHAnsi" w:cstheme="minorHAnsi"/>
          <w:lang w:val="en-AU"/>
        </w:rPr>
        <w:t xml:space="preserve">mongst people with disability, the rate of poverty is 17.2% when using the 50% median income poverty line, and a </w:t>
      </w:r>
      <w:r w:rsidRPr="00BB59B8">
        <w:rPr>
          <w:rFonts w:asciiTheme="minorHAnsi" w:hAnsiTheme="minorHAnsi" w:cstheme="minorHAnsi"/>
          <w:b/>
          <w:bCs/>
          <w:lang w:val="en-AU"/>
        </w:rPr>
        <w:t>staggering 28.4%</w:t>
      </w:r>
      <w:r w:rsidRPr="00D24885">
        <w:rPr>
          <w:rFonts w:asciiTheme="minorHAnsi" w:hAnsiTheme="minorHAnsi" w:cstheme="minorHAnsi"/>
          <w:lang w:val="en-AU"/>
        </w:rPr>
        <w:t xml:space="preserve"> when using the 60% median income line.</w:t>
      </w:r>
      <w:r w:rsidRPr="00D24885">
        <w:rPr>
          <w:rStyle w:val="FootnoteReference"/>
          <w:rFonts w:asciiTheme="minorHAnsi" w:hAnsiTheme="minorHAnsi" w:cstheme="minorHAnsi"/>
          <w:lang w:val="en-AU"/>
        </w:rPr>
        <w:footnoteReference w:id="3"/>
      </w:r>
      <w:r w:rsidRPr="00D24885">
        <w:rPr>
          <w:rFonts w:asciiTheme="minorHAnsi" w:hAnsiTheme="minorHAnsi" w:cstheme="minorHAnsi"/>
          <w:lang w:val="en-AU"/>
        </w:rPr>
        <w:t xml:space="preserve"> Of people experiencing poverty, 37% identify as having a disability.</w:t>
      </w:r>
      <w:r w:rsidRPr="00D24885">
        <w:rPr>
          <w:rStyle w:val="FootnoteReference"/>
          <w:rFonts w:asciiTheme="minorHAnsi" w:hAnsiTheme="minorHAnsi" w:cstheme="minorHAnsi"/>
          <w:lang w:val="en-AU"/>
        </w:rPr>
        <w:footnoteReference w:id="4"/>
      </w:r>
      <w:r w:rsidRPr="00D24885">
        <w:rPr>
          <w:rFonts w:asciiTheme="minorHAnsi" w:hAnsiTheme="minorHAnsi" w:cstheme="minorHAnsi"/>
          <w:lang w:val="en-AU"/>
        </w:rPr>
        <w:t xml:space="preserve"> Australia is not unique in this regard, as people with disability are overrepresented among impoverished populations across the globe.</w:t>
      </w:r>
      <w:r w:rsidRPr="00D24885">
        <w:rPr>
          <w:rStyle w:val="FootnoteReference"/>
          <w:rFonts w:asciiTheme="minorHAnsi" w:hAnsiTheme="minorHAnsi" w:cstheme="minorHAnsi"/>
          <w:lang w:val="en-AU"/>
        </w:rPr>
        <w:footnoteReference w:id="5"/>
      </w:r>
    </w:p>
    <w:p w14:paraId="1B561844" w14:textId="77777777" w:rsidR="00BE772D" w:rsidRPr="00BE772D" w:rsidRDefault="00BE772D" w:rsidP="005369CE">
      <w:pPr>
        <w:rPr>
          <w:rFonts w:asciiTheme="minorHAnsi" w:hAnsiTheme="minorHAnsi" w:cstheme="minorHAnsi"/>
          <w:sz w:val="12"/>
          <w:szCs w:val="12"/>
          <w:lang w:val="en-AU"/>
        </w:rPr>
      </w:pPr>
    </w:p>
    <w:p w14:paraId="4F40C725" w14:textId="3FD0391F" w:rsidR="00BB59B8" w:rsidRDefault="00E623A0" w:rsidP="005369CE">
      <w:pPr>
        <w:rPr>
          <w:rFonts w:asciiTheme="minorHAnsi" w:hAnsiTheme="minorHAnsi" w:cstheme="minorHAnsi"/>
          <w:lang w:val="en-AU"/>
        </w:rPr>
      </w:pPr>
      <w:r>
        <w:rPr>
          <w:rFonts w:asciiTheme="minorHAnsi" w:hAnsiTheme="minorHAnsi" w:cstheme="minorHAnsi"/>
          <w:lang w:val="en-AU"/>
        </w:rPr>
        <w:t xml:space="preserve">   </w:t>
      </w:r>
      <w:r w:rsidR="00BB59B8">
        <w:rPr>
          <w:rFonts w:asciiTheme="minorHAnsi" w:hAnsiTheme="minorHAnsi" w:cstheme="minorHAnsi"/>
          <w:noProof/>
          <w:lang w:val="en-AU"/>
        </w:rPr>
        <w:drawing>
          <wp:inline distT="0" distB="0" distL="0" distR="0" wp14:anchorId="3DFE9ACF" wp14:editId="4B8AD319">
            <wp:extent cx="5232400" cy="2660650"/>
            <wp:effectExtent l="0" t="0" r="635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6391F5" w14:textId="2862BF0A" w:rsidR="008C49E2" w:rsidRPr="00D24885" w:rsidRDefault="008C49E2" w:rsidP="005369CE">
      <w:pPr>
        <w:rPr>
          <w:rFonts w:asciiTheme="minorHAnsi" w:hAnsiTheme="minorHAnsi" w:cstheme="minorHAnsi"/>
          <w:lang w:val="en-AU"/>
        </w:rPr>
      </w:pPr>
      <w:r w:rsidRPr="00D24885">
        <w:rPr>
          <w:rFonts w:asciiTheme="minorHAnsi" w:hAnsiTheme="minorHAnsi" w:cstheme="minorHAnsi"/>
          <w:lang w:val="en-AU"/>
        </w:rPr>
        <w:t xml:space="preserve">It is important to note that much of the data regarding disability and poverty in Australia ranges from six months to over four years old, in some cases predating the Covid-19 pandemic. Given the social and economic developments of the past twelve months and </w:t>
      </w:r>
      <w:r w:rsidRPr="00D24885">
        <w:rPr>
          <w:rFonts w:asciiTheme="minorHAnsi" w:hAnsiTheme="minorHAnsi" w:cstheme="minorHAnsi"/>
          <w:lang w:val="en-AU"/>
        </w:rPr>
        <w:lastRenderedPageBreak/>
        <w:t>subsequent cost of living crisis, it is expected that forthcoming statistics will reflect an increase in poverty, both in general and amongst people with disability. The situation is likely</w:t>
      </w:r>
      <w:r w:rsidR="00E36414">
        <w:rPr>
          <w:rFonts w:asciiTheme="minorHAnsi" w:hAnsiTheme="minorHAnsi" w:cstheme="minorHAnsi"/>
          <w:lang w:val="en-AU"/>
        </w:rPr>
        <w:t xml:space="preserve"> e</w:t>
      </w:r>
      <w:r w:rsidRPr="00D24885">
        <w:rPr>
          <w:rFonts w:asciiTheme="minorHAnsi" w:hAnsiTheme="minorHAnsi" w:cstheme="minorHAnsi"/>
          <w:lang w:val="en-AU"/>
        </w:rPr>
        <w:t>ven more dire than the data presented here would suggest.</w:t>
      </w:r>
      <w:r w:rsidR="004E360C" w:rsidRPr="00D24885">
        <w:rPr>
          <w:rFonts w:asciiTheme="minorHAnsi" w:hAnsiTheme="minorHAnsi" w:cstheme="minorHAnsi"/>
          <w:lang w:val="en-AU"/>
        </w:rPr>
        <w:br/>
      </w:r>
    </w:p>
    <w:p w14:paraId="3DC7E7E0" w14:textId="12B3C500" w:rsidR="00690213" w:rsidRPr="00D24885" w:rsidRDefault="00690213" w:rsidP="00DD6F21">
      <w:pPr>
        <w:pStyle w:val="HeadingNew"/>
        <w:spacing w:line="240" w:lineRule="auto"/>
        <w:rPr>
          <w:lang w:val="en-AU"/>
        </w:rPr>
      </w:pPr>
      <w:r w:rsidRPr="00D24885">
        <w:rPr>
          <w:lang w:val="en-AU"/>
        </w:rPr>
        <w:lastRenderedPageBreak/>
        <w:t>The cost</w:t>
      </w:r>
      <w:r w:rsidR="007D7625">
        <w:rPr>
          <w:lang w:val="en-AU"/>
        </w:rPr>
        <w:t xml:space="preserve"> </w:t>
      </w:r>
      <w:r w:rsidRPr="00D24885">
        <w:rPr>
          <w:lang w:val="en-AU"/>
        </w:rPr>
        <w:t>of</w:t>
      </w:r>
      <w:r w:rsidR="007D7625">
        <w:rPr>
          <w:lang w:val="en-AU"/>
        </w:rPr>
        <w:t xml:space="preserve"> </w:t>
      </w:r>
      <w:r w:rsidRPr="00D24885">
        <w:rPr>
          <w:lang w:val="en-AU"/>
        </w:rPr>
        <w:t>living crisis</w:t>
      </w:r>
    </w:p>
    <w:p w14:paraId="549A6BF5" w14:textId="66A2DE50" w:rsidR="003937D2" w:rsidRDefault="003129D5" w:rsidP="005369CE">
      <w:pPr>
        <w:rPr>
          <w:rFonts w:asciiTheme="minorHAnsi" w:hAnsiTheme="minorHAnsi" w:cstheme="minorHAnsi"/>
          <w:lang w:val="en-AU"/>
        </w:rPr>
      </w:pPr>
      <w:r w:rsidRPr="00D24885">
        <w:rPr>
          <w:rFonts w:asciiTheme="minorHAnsi" w:hAnsiTheme="minorHAnsi" w:cstheme="minorHAnsi"/>
          <w:lang w:val="en-AU"/>
        </w:rPr>
        <w:t xml:space="preserve">The tumultuous events of the past </w:t>
      </w:r>
      <w:r w:rsidR="00C44169" w:rsidRPr="00D24885">
        <w:rPr>
          <w:rFonts w:asciiTheme="minorHAnsi" w:hAnsiTheme="minorHAnsi" w:cstheme="minorHAnsi"/>
          <w:lang w:val="en-AU"/>
        </w:rPr>
        <w:t>three</w:t>
      </w:r>
      <w:r w:rsidRPr="00D24885">
        <w:rPr>
          <w:rFonts w:asciiTheme="minorHAnsi" w:hAnsiTheme="minorHAnsi" w:cstheme="minorHAnsi"/>
          <w:lang w:val="en-AU"/>
        </w:rPr>
        <w:t xml:space="preserve"> years, most notably the Covid-19 pandemic and the war in Ukraine, </w:t>
      </w:r>
      <w:r w:rsidR="006C750C" w:rsidRPr="00D24885">
        <w:rPr>
          <w:rFonts w:asciiTheme="minorHAnsi" w:hAnsiTheme="minorHAnsi" w:cstheme="minorHAnsi"/>
          <w:lang w:val="en-AU"/>
        </w:rPr>
        <w:t xml:space="preserve">have left the global economy in a precarious state and many countries, including Australia, experiencing a cost of living crisis. </w:t>
      </w:r>
      <w:r w:rsidR="002179F2" w:rsidRPr="00D24885">
        <w:rPr>
          <w:rFonts w:asciiTheme="minorHAnsi" w:hAnsiTheme="minorHAnsi" w:cstheme="minorHAnsi"/>
          <w:lang w:val="en-AU"/>
        </w:rPr>
        <w:t>Lockdowns and supply chain disruptions</w:t>
      </w:r>
      <w:r w:rsidR="00356991" w:rsidRPr="00D24885">
        <w:rPr>
          <w:rFonts w:asciiTheme="minorHAnsi" w:hAnsiTheme="minorHAnsi" w:cstheme="minorHAnsi"/>
          <w:lang w:val="en-AU"/>
        </w:rPr>
        <w:t xml:space="preserve"> have</w:t>
      </w:r>
      <w:r w:rsidR="002179F2" w:rsidRPr="00D24885">
        <w:rPr>
          <w:rFonts w:asciiTheme="minorHAnsi" w:hAnsiTheme="minorHAnsi" w:cstheme="minorHAnsi"/>
          <w:lang w:val="en-AU"/>
        </w:rPr>
        <w:t xml:space="preserve"> </w:t>
      </w:r>
      <w:r w:rsidR="00291227" w:rsidRPr="00D24885">
        <w:rPr>
          <w:rFonts w:asciiTheme="minorHAnsi" w:hAnsiTheme="minorHAnsi" w:cstheme="minorHAnsi"/>
          <w:lang w:val="en-AU"/>
        </w:rPr>
        <w:t>resulted in</w:t>
      </w:r>
      <w:r w:rsidR="002179F2" w:rsidRPr="00D24885">
        <w:rPr>
          <w:rFonts w:asciiTheme="minorHAnsi" w:hAnsiTheme="minorHAnsi" w:cstheme="minorHAnsi"/>
          <w:lang w:val="en-AU"/>
        </w:rPr>
        <w:t xml:space="preserve"> shortages</w:t>
      </w:r>
      <w:r w:rsidR="009A6F1B" w:rsidRPr="00D24885">
        <w:rPr>
          <w:rFonts w:asciiTheme="minorHAnsi" w:hAnsiTheme="minorHAnsi" w:cstheme="minorHAnsi"/>
          <w:lang w:val="en-AU"/>
        </w:rPr>
        <w:t xml:space="preserve"> and contributed to rising prices for essential goods and services, otherwise known as inflation.</w:t>
      </w:r>
      <w:r w:rsidR="000A0148" w:rsidRPr="00D24885">
        <w:rPr>
          <w:rFonts w:asciiTheme="minorHAnsi" w:hAnsiTheme="minorHAnsi" w:cstheme="minorHAnsi"/>
          <w:lang w:val="en-AU"/>
        </w:rPr>
        <w:t xml:space="preserve"> </w:t>
      </w:r>
      <w:r w:rsidR="00C309B7" w:rsidRPr="00D24885">
        <w:rPr>
          <w:rFonts w:asciiTheme="minorHAnsi" w:hAnsiTheme="minorHAnsi" w:cstheme="minorHAnsi"/>
          <w:lang w:val="en-AU"/>
        </w:rPr>
        <w:t xml:space="preserve">Governments and central banks </w:t>
      </w:r>
      <w:r w:rsidR="007C16BE" w:rsidRPr="00D24885">
        <w:rPr>
          <w:rFonts w:asciiTheme="minorHAnsi" w:hAnsiTheme="minorHAnsi" w:cstheme="minorHAnsi"/>
          <w:lang w:val="en-AU"/>
        </w:rPr>
        <w:t xml:space="preserve">have </w:t>
      </w:r>
      <w:r w:rsidR="00C309B7" w:rsidRPr="00D24885">
        <w:rPr>
          <w:rFonts w:asciiTheme="minorHAnsi" w:hAnsiTheme="minorHAnsi" w:cstheme="minorHAnsi"/>
          <w:lang w:val="en-AU"/>
        </w:rPr>
        <w:t xml:space="preserve">responded with various stimulus measures, such as direct payments to individuals and businesses, but these measures have also contributed to inflation and increased national debt levels. </w:t>
      </w:r>
      <w:r w:rsidR="000A0148" w:rsidRPr="00D24885">
        <w:rPr>
          <w:rFonts w:asciiTheme="minorHAnsi" w:hAnsiTheme="minorHAnsi" w:cstheme="minorHAnsi"/>
          <w:lang w:val="en-AU"/>
        </w:rPr>
        <w:t xml:space="preserve">The pandemic also led to significant job losses and reduced incomes for many individuals and families, exacerbating existing financial insecurity and making it more difficult to afford basic needs. </w:t>
      </w:r>
      <w:r w:rsidR="00BA731C" w:rsidRPr="00D24885">
        <w:rPr>
          <w:rFonts w:asciiTheme="minorHAnsi" w:hAnsiTheme="minorHAnsi" w:cstheme="minorHAnsi"/>
          <w:lang w:val="en-AU"/>
        </w:rPr>
        <w:t xml:space="preserve">In Australia, lack of affordable housing is another </w:t>
      </w:r>
      <w:r w:rsidR="000B7ACB" w:rsidRPr="00D24885">
        <w:rPr>
          <w:rFonts w:asciiTheme="minorHAnsi" w:hAnsiTheme="minorHAnsi" w:cstheme="minorHAnsi"/>
          <w:lang w:val="en-AU"/>
        </w:rPr>
        <w:t>primary factor in the cost of living crisis</w:t>
      </w:r>
      <w:r w:rsidR="009A7E95" w:rsidRPr="00D24885">
        <w:rPr>
          <w:rFonts w:asciiTheme="minorHAnsi" w:hAnsiTheme="minorHAnsi" w:cstheme="minorHAnsi"/>
          <w:lang w:val="en-AU"/>
        </w:rPr>
        <w:t>, with many experiencing housing insecurity and at risk of homelessness.</w:t>
      </w:r>
    </w:p>
    <w:p w14:paraId="139D4F9B" w14:textId="5056F95A" w:rsidR="00517902" w:rsidRDefault="00517902" w:rsidP="005369CE">
      <w:pPr>
        <w:rPr>
          <w:rFonts w:asciiTheme="minorHAnsi" w:hAnsiTheme="minorHAnsi" w:cstheme="minorHAnsi"/>
          <w:lang w:val="en-AU"/>
        </w:rPr>
      </w:pPr>
      <w:r w:rsidRPr="00517902">
        <w:rPr>
          <w:rFonts w:asciiTheme="minorHAnsi" w:hAnsiTheme="minorHAnsi" w:cstheme="minorHAnsi"/>
          <w:lang w:val="en-AU"/>
        </w:rPr>
        <w:t>People</w:t>
      </w:r>
      <w:r>
        <w:rPr>
          <w:rFonts w:asciiTheme="minorHAnsi" w:hAnsiTheme="minorHAnsi" w:cstheme="minorHAnsi"/>
          <w:lang w:val="en-AU"/>
        </w:rPr>
        <w:t xml:space="preserve"> with disability are</w:t>
      </w:r>
      <w:r w:rsidR="00E30C8B">
        <w:rPr>
          <w:rFonts w:asciiTheme="minorHAnsi" w:hAnsiTheme="minorHAnsi" w:cstheme="minorHAnsi"/>
          <w:lang w:val="en-AU"/>
        </w:rPr>
        <w:t xml:space="preserve"> more likely to be negatively impacted by the cost of living crisis</w:t>
      </w:r>
      <w:r w:rsidR="00A84B62">
        <w:rPr>
          <w:rFonts w:asciiTheme="minorHAnsi" w:hAnsiTheme="minorHAnsi" w:cstheme="minorHAnsi"/>
          <w:lang w:val="en-AU"/>
        </w:rPr>
        <w:t xml:space="preserve"> due to the additional </w:t>
      </w:r>
      <w:r w:rsidR="00D9234A">
        <w:rPr>
          <w:rFonts w:asciiTheme="minorHAnsi" w:hAnsiTheme="minorHAnsi" w:cstheme="minorHAnsi"/>
          <w:lang w:val="en-AU"/>
        </w:rPr>
        <w:t>expenses</w:t>
      </w:r>
      <w:r w:rsidR="00A84B62">
        <w:rPr>
          <w:rFonts w:asciiTheme="minorHAnsi" w:hAnsiTheme="minorHAnsi" w:cstheme="minorHAnsi"/>
          <w:lang w:val="en-AU"/>
        </w:rPr>
        <w:t xml:space="preserve"> that living with a disability incurs.</w:t>
      </w:r>
    </w:p>
    <w:p w14:paraId="52C12B22" w14:textId="77777777" w:rsidR="00A6629D" w:rsidRPr="00EE3E68" w:rsidRDefault="00A6629D" w:rsidP="005369CE">
      <w:pPr>
        <w:ind w:left="720"/>
        <w:rPr>
          <w:rFonts w:asciiTheme="minorHAnsi" w:hAnsiTheme="minorHAnsi" w:cstheme="minorHAnsi"/>
          <w:i/>
          <w:iCs/>
          <w:lang w:val="en-AU"/>
        </w:rPr>
      </w:pPr>
      <w:r w:rsidRPr="00EE3E68">
        <w:rPr>
          <w:rFonts w:asciiTheme="minorHAnsi" w:hAnsiTheme="minorHAnsi" w:cstheme="minorHAnsi"/>
          <w:i/>
          <w:iCs/>
          <w:lang w:val="en-AU"/>
        </w:rPr>
        <w:t>Life costs more for disabled people and their families, spending more on essential goods and services like; heating, insurance, equipment, and therapies. These extra costs mean disabled people have less money in their pocket than non-disabled people, or simply go without. The result is that disabled people are more likely to have a lower standard of living, even when they earn the same.</w:t>
      </w:r>
      <w:r w:rsidRPr="00EE3E68">
        <w:rPr>
          <w:rStyle w:val="FootnoteReference"/>
          <w:rFonts w:asciiTheme="minorHAnsi" w:hAnsiTheme="minorHAnsi" w:cstheme="minorHAnsi"/>
          <w:i/>
          <w:iCs/>
          <w:lang w:val="en-AU"/>
        </w:rPr>
        <w:footnoteReference w:id="6"/>
      </w:r>
      <w:r w:rsidRPr="00EE3E68">
        <w:rPr>
          <w:rFonts w:asciiTheme="minorHAnsi" w:hAnsiTheme="minorHAnsi" w:cstheme="minorHAnsi"/>
          <w:i/>
          <w:iCs/>
          <w:lang w:val="en-AU"/>
        </w:rPr>
        <w:t xml:space="preserve"> </w:t>
      </w:r>
    </w:p>
    <w:p w14:paraId="030B657B" w14:textId="77777777" w:rsidR="00DD6F21" w:rsidRDefault="00A6629D" w:rsidP="005369CE">
      <w:pPr>
        <w:rPr>
          <w:rFonts w:asciiTheme="minorHAnsi" w:hAnsiTheme="minorHAnsi" w:cstheme="minorHAnsi"/>
          <w:lang w:val="en-AU"/>
        </w:rPr>
      </w:pPr>
      <w:r w:rsidRPr="00EE3E68">
        <w:rPr>
          <w:rFonts w:asciiTheme="minorHAnsi" w:hAnsiTheme="minorHAnsi" w:cstheme="minorHAnsi"/>
          <w:lang w:val="en-AU"/>
        </w:rPr>
        <w:t>The cost of disability is defined as the inequality in the standard of living experienced by people with disability that arises from the interaction between a person’s impairment and the barriers they face to societal participation, rather than the cost of the disability itself.</w:t>
      </w:r>
      <w:r w:rsidRPr="00EE3E68">
        <w:rPr>
          <w:rStyle w:val="FootnoteReference"/>
          <w:rFonts w:asciiTheme="minorHAnsi" w:hAnsiTheme="minorHAnsi" w:cstheme="minorHAnsi"/>
          <w:lang w:val="en-AU"/>
        </w:rPr>
        <w:footnoteReference w:id="7"/>
      </w:r>
      <w:r w:rsidR="00233959">
        <w:rPr>
          <w:rFonts w:asciiTheme="minorHAnsi" w:hAnsiTheme="minorHAnsi" w:cstheme="minorHAnsi"/>
          <w:lang w:val="en-AU"/>
        </w:rPr>
        <w:t xml:space="preserve"> </w:t>
      </w:r>
    </w:p>
    <w:p w14:paraId="0F07147D" w14:textId="1D1D2B1B" w:rsidR="00233959" w:rsidRPr="00EE3E68" w:rsidRDefault="00233959" w:rsidP="005369CE">
      <w:pPr>
        <w:rPr>
          <w:rFonts w:asciiTheme="minorHAnsi" w:hAnsiTheme="minorHAnsi" w:cstheme="minorHAnsi"/>
          <w:lang w:val="en-AU"/>
        </w:rPr>
      </w:pPr>
      <w:r w:rsidRPr="00EE3E68">
        <w:rPr>
          <w:rFonts w:asciiTheme="minorHAnsi" w:hAnsiTheme="minorHAnsi" w:cstheme="minorHAnsi"/>
          <w:lang w:val="en-AU"/>
        </w:rPr>
        <w:t>Per the National Centre for Social and Economic Modelling (NATSEM), in order for a household with an adult with disability to achieve the same standard of living as a household without an adult with disability, they require an additional $107 per fortnight over and above their net disposable income.</w:t>
      </w:r>
      <w:r w:rsidRPr="00EE3E68">
        <w:rPr>
          <w:rStyle w:val="FootnoteReference"/>
          <w:rFonts w:asciiTheme="minorHAnsi" w:hAnsiTheme="minorHAnsi" w:cstheme="minorHAnsi"/>
          <w:lang w:val="en-AU"/>
        </w:rPr>
        <w:footnoteReference w:id="8"/>
      </w:r>
    </w:p>
    <w:p w14:paraId="0D1FC543" w14:textId="74EEE303" w:rsidR="00DF09FA" w:rsidRPr="00D24885" w:rsidRDefault="00DF09FA" w:rsidP="005369CE">
      <w:pPr>
        <w:rPr>
          <w:rFonts w:asciiTheme="minorHAnsi" w:hAnsiTheme="minorHAnsi" w:cstheme="minorHAnsi"/>
          <w:lang w:val="en-AU"/>
        </w:rPr>
      </w:pPr>
      <w:r w:rsidRPr="00D24885">
        <w:rPr>
          <w:rFonts w:asciiTheme="minorHAnsi" w:hAnsiTheme="minorHAnsi" w:cstheme="minorHAnsi"/>
          <w:lang w:val="en-AU"/>
        </w:rPr>
        <w:t xml:space="preserve">While mitigating </w:t>
      </w:r>
      <w:r w:rsidR="009648FD">
        <w:rPr>
          <w:rFonts w:asciiTheme="minorHAnsi" w:hAnsiTheme="minorHAnsi" w:cstheme="minorHAnsi"/>
          <w:lang w:val="en-AU"/>
        </w:rPr>
        <w:t xml:space="preserve">the cost of living </w:t>
      </w:r>
      <w:r w:rsidRPr="00D24885">
        <w:rPr>
          <w:rFonts w:asciiTheme="minorHAnsi" w:hAnsiTheme="minorHAnsi" w:cstheme="minorHAnsi"/>
          <w:lang w:val="en-AU"/>
        </w:rPr>
        <w:t xml:space="preserve">crisis will require a multifaceted response, </w:t>
      </w:r>
      <w:r w:rsidR="005C71E6" w:rsidRPr="00D24885">
        <w:rPr>
          <w:rFonts w:asciiTheme="minorHAnsi" w:hAnsiTheme="minorHAnsi" w:cstheme="minorHAnsi"/>
          <w:lang w:val="en-AU"/>
        </w:rPr>
        <w:t xml:space="preserve">it is the opinion of AFDO that the </w:t>
      </w:r>
      <w:r w:rsidR="00DD6F21">
        <w:rPr>
          <w:rFonts w:asciiTheme="minorHAnsi" w:hAnsiTheme="minorHAnsi" w:cstheme="minorHAnsi"/>
          <w:lang w:val="en-AU"/>
        </w:rPr>
        <w:t>F</w:t>
      </w:r>
      <w:r w:rsidR="002A58D0">
        <w:rPr>
          <w:rFonts w:asciiTheme="minorHAnsi" w:hAnsiTheme="minorHAnsi" w:cstheme="minorHAnsi"/>
          <w:lang w:val="en-AU"/>
        </w:rPr>
        <w:t>ederal</w:t>
      </w:r>
      <w:r w:rsidR="006E2BFC" w:rsidRPr="00D24885">
        <w:rPr>
          <w:rFonts w:asciiTheme="minorHAnsi" w:hAnsiTheme="minorHAnsi" w:cstheme="minorHAnsi"/>
          <w:lang w:val="en-AU"/>
        </w:rPr>
        <w:t xml:space="preserve"> </w:t>
      </w:r>
      <w:r w:rsidR="00DD6F21">
        <w:rPr>
          <w:rFonts w:asciiTheme="minorHAnsi" w:hAnsiTheme="minorHAnsi" w:cstheme="minorHAnsi"/>
          <w:lang w:val="en-AU"/>
        </w:rPr>
        <w:t>G</w:t>
      </w:r>
      <w:r w:rsidR="005C71E6" w:rsidRPr="00D24885">
        <w:rPr>
          <w:rFonts w:asciiTheme="minorHAnsi" w:hAnsiTheme="minorHAnsi" w:cstheme="minorHAnsi"/>
          <w:lang w:val="en-AU"/>
        </w:rPr>
        <w:t xml:space="preserve">overnment should </w:t>
      </w:r>
      <w:r w:rsidR="000266E2" w:rsidRPr="00D24885">
        <w:rPr>
          <w:rFonts w:asciiTheme="minorHAnsi" w:hAnsiTheme="minorHAnsi" w:cstheme="minorHAnsi"/>
          <w:lang w:val="en-AU"/>
        </w:rPr>
        <w:t>begin</w:t>
      </w:r>
      <w:r w:rsidR="00BE4402" w:rsidRPr="00D24885">
        <w:rPr>
          <w:rFonts w:asciiTheme="minorHAnsi" w:hAnsiTheme="minorHAnsi" w:cstheme="minorHAnsi"/>
          <w:lang w:val="en-AU"/>
        </w:rPr>
        <w:t xml:space="preserve"> by leveraging two key mechanisms</w:t>
      </w:r>
      <w:r w:rsidR="000266E2" w:rsidRPr="00D24885">
        <w:rPr>
          <w:rFonts w:asciiTheme="minorHAnsi" w:hAnsiTheme="minorHAnsi" w:cstheme="minorHAnsi"/>
          <w:lang w:val="en-AU"/>
        </w:rPr>
        <w:t xml:space="preserve"> – </w:t>
      </w:r>
      <w:r w:rsidR="00BE4402" w:rsidRPr="00D24885">
        <w:rPr>
          <w:rFonts w:asciiTheme="minorHAnsi" w:hAnsiTheme="minorHAnsi" w:cstheme="minorHAnsi"/>
          <w:lang w:val="en-AU"/>
        </w:rPr>
        <w:t xml:space="preserve">income support and </w:t>
      </w:r>
      <w:r w:rsidR="006E3269" w:rsidRPr="00D24885">
        <w:rPr>
          <w:rFonts w:asciiTheme="minorHAnsi" w:hAnsiTheme="minorHAnsi" w:cstheme="minorHAnsi"/>
          <w:lang w:val="en-AU"/>
        </w:rPr>
        <w:t xml:space="preserve">affordable </w:t>
      </w:r>
      <w:r w:rsidR="00BE4402" w:rsidRPr="00D24885">
        <w:rPr>
          <w:rFonts w:asciiTheme="minorHAnsi" w:hAnsiTheme="minorHAnsi" w:cstheme="minorHAnsi"/>
          <w:lang w:val="en-AU"/>
        </w:rPr>
        <w:t>housing supply.</w:t>
      </w:r>
      <w:r w:rsidR="000266E2" w:rsidRPr="00D24885">
        <w:rPr>
          <w:rFonts w:asciiTheme="minorHAnsi" w:hAnsiTheme="minorHAnsi" w:cstheme="minorHAnsi"/>
          <w:lang w:val="en-AU"/>
        </w:rPr>
        <w:t xml:space="preserve"> </w:t>
      </w:r>
      <w:r w:rsidR="00E2450D" w:rsidRPr="00D24885">
        <w:rPr>
          <w:rFonts w:asciiTheme="minorHAnsi" w:hAnsiTheme="minorHAnsi" w:cstheme="minorHAnsi"/>
          <w:lang w:val="en-AU"/>
        </w:rPr>
        <w:t>By immediately alleviating</w:t>
      </w:r>
      <w:r w:rsidR="0010179D" w:rsidRPr="00D24885">
        <w:rPr>
          <w:rFonts w:asciiTheme="minorHAnsi" w:hAnsiTheme="minorHAnsi" w:cstheme="minorHAnsi"/>
          <w:lang w:val="en-AU"/>
        </w:rPr>
        <w:t xml:space="preserve"> the </w:t>
      </w:r>
      <w:r w:rsidR="006E2BFC" w:rsidRPr="00D24885">
        <w:rPr>
          <w:rFonts w:asciiTheme="minorHAnsi" w:hAnsiTheme="minorHAnsi" w:cstheme="minorHAnsi"/>
          <w:lang w:val="en-AU"/>
        </w:rPr>
        <w:t xml:space="preserve">twin </w:t>
      </w:r>
      <w:r w:rsidR="0010179D" w:rsidRPr="00D24885">
        <w:rPr>
          <w:rFonts w:asciiTheme="minorHAnsi" w:hAnsiTheme="minorHAnsi" w:cstheme="minorHAnsi"/>
          <w:lang w:val="en-AU"/>
        </w:rPr>
        <w:t xml:space="preserve">pressures of income </w:t>
      </w:r>
      <w:r w:rsidR="006E2BFC" w:rsidRPr="00D24885">
        <w:rPr>
          <w:rFonts w:asciiTheme="minorHAnsi" w:hAnsiTheme="minorHAnsi" w:cstheme="minorHAnsi"/>
          <w:lang w:val="en-AU"/>
        </w:rPr>
        <w:t xml:space="preserve">insecurity </w:t>
      </w:r>
      <w:r w:rsidR="0010179D" w:rsidRPr="00D24885">
        <w:rPr>
          <w:rFonts w:asciiTheme="minorHAnsi" w:hAnsiTheme="minorHAnsi" w:cstheme="minorHAnsi"/>
          <w:lang w:val="en-AU"/>
        </w:rPr>
        <w:t>and housing insecurity</w:t>
      </w:r>
      <w:r w:rsidR="00E2450D" w:rsidRPr="00D24885">
        <w:rPr>
          <w:rFonts w:asciiTheme="minorHAnsi" w:hAnsiTheme="minorHAnsi" w:cstheme="minorHAnsi"/>
          <w:lang w:val="en-AU"/>
        </w:rPr>
        <w:t xml:space="preserve">, the government </w:t>
      </w:r>
      <w:r w:rsidR="007D7F14" w:rsidRPr="00D24885">
        <w:rPr>
          <w:rFonts w:asciiTheme="minorHAnsi" w:hAnsiTheme="minorHAnsi" w:cstheme="minorHAnsi"/>
          <w:lang w:val="en-AU"/>
        </w:rPr>
        <w:t xml:space="preserve">can ease the burden of the cost of living crisis </w:t>
      </w:r>
      <w:r w:rsidR="005739FC" w:rsidRPr="00D24885">
        <w:rPr>
          <w:rFonts w:asciiTheme="minorHAnsi" w:hAnsiTheme="minorHAnsi" w:cstheme="minorHAnsi"/>
          <w:lang w:val="en-AU"/>
        </w:rPr>
        <w:t>and promote financial stability for</w:t>
      </w:r>
      <w:r w:rsidR="007D7F14" w:rsidRPr="00D24885">
        <w:rPr>
          <w:rFonts w:asciiTheme="minorHAnsi" w:hAnsiTheme="minorHAnsi" w:cstheme="minorHAnsi"/>
          <w:lang w:val="en-AU"/>
        </w:rPr>
        <w:t xml:space="preserve"> all Australians, including people with disability</w:t>
      </w:r>
      <w:r w:rsidR="005739FC" w:rsidRPr="00D24885">
        <w:rPr>
          <w:rFonts w:asciiTheme="minorHAnsi" w:hAnsiTheme="minorHAnsi" w:cstheme="minorHAnsi"/>
          <w:lang w:val="en-AU"/>
        </w:rPr>
        <w:t>.</w:t>
      </w:r>
    </w:p>
    <w:p w14:paraId="2EA5AFA0" w14:textId="77777777" w:rsidR="000B7ACB" w:rsidRPr="00D24885" w:rsidRDefault="000B7ACB" w:rsidP="005369CE">
      <w:pPr>
        <w:rPr>
          <w:rFonts w:asciiTheme="minorHAnsi" w:hAnsiTheme="minorHAnsi" w:cstheme="minorHAnsi"/>
          <w:lang w:val="en-AU"/>
        </w:rPr>
      </w:pPr>
    </w:p>
    <w:p w14:paraId="7E24AFF4" w14:textId="4B888C53" w:rsidR="00216B6B" w:rsidRPr="00D24885" w:rsidRDefault="00216B6B" w:rsidP="007B42FF">
      <w:pPr>
        <w:pStyle w:val="HeadingNew"/>
        <w:rPr>
          <w:lang w:val="en-AU" w:eastAsia="zh-CN"/>
        </w:rPr>
      </w:pPr>
      <w:r w:rsidRPr="00D24885">
        <w:rPr>
          <w:lang w:val="en-AU" w:eastAsia="zh-CN"/>
        </w:rPr>
        <w:lastRenderedPageBreak/>
        <w:t xml:space="preserve">Key mechanisms </w:t>
      </w:r>
      <w:r w:rsidR="007B42FF" w:rsidRPr="00D24885">
        <w:rPr>
          <w:lang w:val="en-AU" w:eastAsia="zh-CN"/>
        </w:rPr>
        <w:t xml:space="preserve">for easing the </w:t>
      </w:r>
      <w:r w:rsidR="00552077" w:rsidRPr="00D24885">
        <w:rPr>
          <w:lang w:val="en-AU" w:eastAsia="zh-CN"/>
        </w:rPr>
        <w:t>cost</w:t>
      </w:r>
      <w:r w:rsidR="00BB0684">
        <w:rPr>
          <w:lang w:val="en-AU" w:eastAsia="zh-CN"/>
        </w:rPr>
        <w:t xml:space="preserve"> </w:t>
      </w:r>
      <w:r w:rsidR="00552077" w:rsidRPr="00D24885">
        <w:rPr>
          <w:lang w:val="en-AU" w:eastAsia="zh-CN"/>
        </w:rPr>
        <w:t>of</w:t>
      </w:r>
      <w:r w:rsidR="00BB0684">
        <w:rPr>
          <w:lang w:val="en-AU" w:eastAsia="zh-CN"/>
        </w:rPr>
        <w:t xml:space="preserve"> </w:t>
      </w:r>
      <w:r w:rsidR="00552077" w:rsidRPr="00D24885">
        <w:rPr>
          <w:lang w:val="en-AU" w:eastAsia="zh-CN"/>
        </w:rPr>
        <w:t>living</w:t>
      </w:r>
      <w:r w:rsidR="007B42FF" w:rsidRPr="00D24885">
        <w:rPr>
          <w:lang w:val="en-AU" w:eastAsia="zh-CN"/>
        </w:rPr>
        <w:t xml:space="preserve"> crisis</w:t>
      </w:r>
    </w:p>
    <w:p w14:paraId="1EB3DA54" w14:textId="3B85CAD1" w:rsidR="00483AC4" w:rsidRPr="00D24885" w:rsidRDefault="003B17B5" w:rsidP="005369CE">
      <w:pPr>
        <w:pStyle w:val="NoSpacing"/>
        <w:spacing w:after="200" w:line="276" w:lineRule="auto"/>
        <w:rPr>
          <w:rFonts w:asciiTheme="minorHAnsi" w:hAnsiTheme="minorHAnsi" w:cstheme="minorHAnsi"/>
          <w:color w:val="auto"/>
          <w:sz w:val="24"/>
          <w:szCs w:val="24"/>
          <w:lang w:val="en-AU" w:eastAsia="zh-CN"/>
        </w:rPr>
      </w:pPr>
      <w:r w:rsidRPr="00D24885">
        <w:rPr>
          <w:rFonts w:asciiTheme="minorHAnsi" w:hAnsiTheme="minorHAnsi" w:cstheme="minorHAnsi"/>
          <w:color w:val="auto"/>
          <w:sz w:val="24"/>
          <w:szCs w:val="24"/>
          <w:lang w:val="en-AU" w:eastAsia="zh-CN"/>
        </w:rPr>
        <w:t xml:space="preserve">The </w:t>
      </w:r>
      <w:r w:rsidR="00552077" w:rsidRPr="00D24885">
        <w:rPr>
          <w:rFonts w:asciiTheme="minorHAnsi" w:hAnsiTheme="minorHAnsi" w:cstheme="minorHAnsi"/>
          <w:color w:val="auto"/>
          <w:sz w:val="24"/>
          <w:szCs w:val="24"/>
          <w:lang w:val="en-AU" w:eastAsia="zh-CN"/>
        </w:rPr>
        <w:t>cost</w:t>
      </w:r>
      <w:r w:rsidR="00BB0684">
        <w:rPr>
          <w:rFonts w:asciiTheme="minorHAnsi" w:hAnsiTheme="minorHAnsi" w:cstheme="minorHAnsi"/>
          <w:color w:val="auto"/>
          <w:sz w:val="24"/>
          <w:szCs w:val="24"/>
          <w:lang w:val="en-AU" w:eastAsia="zh-CN"/>
        </w:rPr>
        <w:t xml:space="preserve"> </w:t>
      </w:r>
      <w:r w:rsidR="00552077" w:rsidRPr="00D24885">
        <w:rPr>
          <w:rFonts w:asciiTheme="minorHAnsi" w:hAnsiTheme="minorHAnsi" w:cstheme="minorHAnsi"/>
          <w:color w:val="auto"/>
          <w:sz w:val="24"/>
          <w:szCs w:val="24"/>
          <w:lang w:val="en-AU" w:eastAsia="zh-CN"/>
        </w:rPr>
        <w:t>of</w:t>
      </w:r>
      <w:r w:rsidR="00BB0684">
        <w:rPr>
          <w:rFonts w:asciiTheme="minorHAnsi" w:hAnsiTheme="minorHAnsi" w:cstheme="minorHAnsi"/>
          <w:color w:val="auto"/>
          <w:sz w:val="24"/>
          <w:szCs w:val="24"/>
          <w:lang w:val="en-AU" w:eastAsia="zh-CN"/>
        </w:rPr>
        <w:t xml:space="preserve"> </w:t>
      </w:r>
      <w:r w:rsidR="00552077" w:rsidRPr="00D24885">
        <w:rPr>
          <w:rFonts w:asciiTheme="minorHAnsi" w:hAnsiTheme="minorHAnsi" w:cstheme="minorHAnsi"/>
          <w:color w:val="auto"/>
          <w:sz w:val="24"/>
          <w:szCs w:val="24"/>
          <w:lang w:val="en-AU" w:eastAsia="zh-CN"/>
        </w:rPr>
        <w:t>living</w:t>
      </w:r>
      <w:r w:rsidRPr="00D24885">
        <w:rPr>
          <w:rFonts w:asciiTheme="minorHAnsi" w:hAnsiTheme="minorHAnsi" w:cstheme="minorHAnsi"/>
          <w:color w:val="auto"/>
          <w:sz w:val="24"/>
          <w:szCs w:val="24"/>
          <w:lang w:val="en-AU" w:eastAsia="zh-CN"/>
        </w:rPr>
        <w:t xml:space="preserve"> crisis has become a significant issue in Australia, </w:t>
      </w:r>
      <w:r w:rsidR="00DC428B" w:rsidRPr="00D24885">
        <w:rPr>
          <w:rFonts w:asciiTheme="minorHAnsi" w:hAnsiTheme="minorHAnsi" w:cstheme="minorHAnsi"/>
          <w:color w:val="auto"/>
          <w:sz w:val="24"/>
          <w:szCs w:val="24"/>
          <w:lang w:val="en-AU" w:eastAsia="zh-CN"/>
        </w:rPr>
        <w:t>leaving</w:t>
      </w:r>
      <w:r w:rsidRPr="00D24885">
        <w:rPr>
          <w:rFonts w:asciiTheme="minorHAnsi" w:hAnsiTheme="minorHAnsi" w:cstheme="minorHAnsi"/>
          <w:color w:val="auto"/>
          <w:sz w:val="24"/>
          <w:szCs w:val="24"/>
          <w:lang w:val="en-AU" w:eastAsia="zh-CN"/>
        </w:rPr>
        <w:t xml:space="preserve"> </w:t>
      </w:r>
      <w:r w:rsidR="00DC428B" w:rsidRPr="00D24885">
        <w:rPr>
          <w:rFonts w:asciiTheme="minorHAnsi" w:hAnsiTheme="minorHAnsi" w:cstheme="minorHAnsi"/>
          <w:color w:val="auto"/>
          <w:sz w:val="24"/>
          <w:szCs w:val="24"/>
          <w:lang w:val="en-AU" w:eastAsia="zh-CN"/>
        </w:rPr>
        <w:t xml:space="preserve">people with disability struggling </w:t>
      </w:r>
      <w:r w:rsidRPr="00D24885">
        <w:rPr>
          <w:rFonts w:asciiTheme="minorHAnsi" w:hAnsiTheme="minorHAnsi" w:cstheme="minorHAnsi"/>
          <w:color w:val="auto"/>
          <w:sz w:val="24"/>
          <w:szCs w:val="24"/>
          <w:lang w:val="en-AU" w:eastAsia="zh-CN"/>
        </w:rPr>
        <w:t xml:space="preserve">to meet their basic needs due to the high cost of essential goods and services. To address this, the government </w:t>
      </w:r>
      <w:r w:rsidR="00855B8C" w:rsidRPr="00D24885">
        <w:rPr>
          <w:rFonts w:asciiTheme="minorHAnsi" w:hAnsiTheme="minorHAnsi" w:cstheme="minorHAnsi"/>
          <w:color w:val="auto"/>
          <w:sz w:val="24"/>
          <w:szCs w:val="24"/>
          <w:lang w:val="en-AU" w:eastAsia="zh-CN"/>
        </w:rPr>
        <w:t>should</w:t>
      </w:r>
      <w:r w:rsidRPr="00D24885">
        <w:rPr>
          <w:rFonts w:asciiTheme="minorHAnsi" w:hAnsiTheme="minorHAnsi" w:cstheme="minorHAnsi"/>
          <w:color w:val="auto"/>
          <w:sz w:val="24"/>
          <w:szCs w:val="24"/>
          <w:lang w:val="en-AU" w:eastAsia="zh-CN"/>
        </w:rPr>
        <w:t xml:space="preserve"> consider </w:t>
      </w:r>
      <w:r w:rsidR="00D32646" w:rsidRPr="00D24885">
        <w:rPr>
          <w:rFonts w:asciiTheme="minorHAnsi" w:hAnsiTheme="minorHAnsi" w:cstheme="minorHAnsi"/>
          <w:color w:val="auto"/>
          <w:sz w:val="24"/>
          <w:szCs w:val="24"/>
          <w:lang w:val="en-AU" w:eastAsia="zh-CN"/>
        </w:rPr>
        <w:t xml:space="preserve">policies that address </w:t>
      </w:r>
      <w:r w:rsidR="005728C8" w:rsidRPr="00D24885">
        <w:rPr>
          <w:rFonts w:asciiTheme="minorHAnsi" w:hAnsiTheme="minorHAnsi" w:cstheme="minorHAnsi"/>
          <w:color w:val="auto"/>
          <w:sz w:val="24"/>
          <w:szCs w:val="24"/>
          <w:lang w:val="en-AU" w:eastAsia="zh-CN"/>
        </w:rPr>
        <w:t>two</w:t>
      </w:r>
      <w:r w:rsidR="00D32646" w:rsidRPr="00D24885">
        <w:rPr>
          <w:rFonts w:asciiTheme="minorHAnsi" w:hAnsiTheme="minorHAnsi" w:cstheme="minorHAnsi"/>
          <w:color w:val="auto"/>
          <w:sz w:val="24"/>
          <w:szCs w:val="24"/>
          <w:lang w:val="en-AU" w:eastAsia="zh-CN"/>
        </w:rPr>
        <w:t xml:space="preserve"> root causes of the </w:t>
      </w:r>
      <w:r w:rsidR="00552077" w:rsidRPr="00D24885">
        <w:rPr>
          <w:rFonts w:asciiTheme="minorHAnsi" w:hAnsiTheme="minorHAnsi" w:cstheme="minorHAnsi"/>
          <w:color w:val="auto"/>
          <w:sz w:val="24"/>
          <w:szCs w:val="24"/>
          <w:lang w:val="en-AU" w:eastAsia="zh-CN"/>
        </w:rPr>
        <w:t>crisis</w:t>
      </w:r>
      <w:r w:rsidR="005728C8" w:rsidRPr="00D24885">
        <w:rPr>
          <w:rFonts w:asciiTheme="minorHAnsi" w:hAnsiTheme="minorHAnsi" w:cstheme="minorHAnsi"/>
          <w:color w:val="auto"/>
          <w:sz w:val="24"/>
          <w:szCs w:val="24"/>
          <w:lang w:val="en-AU" w:eastAsia="zh-CN"/>
        </w:rPr>
        <w:t xml:space="preserve"> – </w:t>
      </w:r>
      <w:r w:rsidR="00AC176F" w:rsidRPr="00D24885">
        <w:rPr>
          <w:rFonts w:asciiTheme="minorHAnsi" w:hAnsiTheme="minorHAnsi" w:cstheme="minorHAnsi"/>
          <w:color w:val="auto"/>
          <w:sz w:val="24"/>
          <w:szCs w:val="24"/>
          <w:lang w:val="en-AU" w:eastAsia="zh-CN"/>
        </w:rPr>
        <w:t>affordable housing supply and income support.</w:t>
      </w:r>
    </w:p>
    <w:p w14:paraId="41BEF728" w14:textId="0B87EE0B" w:rsidR="00483AC4" w:rsidRPr="00D24885" w:rsidRDefault="00483AC4" w:rsidP="005369CE">
      <w:pPr>
        <w:pStyle w:val="Heading2"/>
        <w:spacing w:before="0" w:after="200"/>
      </w:pPr>
      <w:r w:rsidRPr="00D24885">
        <w:t>Housing</w:t>
      </w:r>
    </w:p>
    <w:p w14:paraId="561C800A" w14:textId="1066411A" w:rsidR="00483AC4" w:rsidRDefault="00483AC4" w:rsidP="005369CE">
      <w:pPr>
        <w:rPr>
          <w:rFonts w:asciiTheme="minorHAnsi" w:hAnsiTheme="minorHAnsi" w:cstheme="minorHAnsi"/>
          <w:lang w:val="en-AU"/>
        </w:rPr>
      </w:pPr>
      <w:r w:rsidRPr="00D24885">
        <w:rPr>
          <w:rFonts w:asciiTheme="minorHAnsi" w:hAnsiTheme="minorHAnsi" w:cstheme="minorHAnsi"/>
          <w:lang w:val="en-AU"/>
        </w:rPr>
        <w:t>Lack of affordable housing is a major cause of poverty for all demographics. Individuals who cannot access affordable, secure, and appropriate housing are at risk of negative consequences including homelessness, poorer health outcomes, and lower rates of education and employment. Those in private rentals are most vulnerable, with renters being twice as likely to live in poverty as homeowners.</w:t>
      </w:r>
      <w:r w:rsidRPr="00D24885">
        <w:rPr>
          <w:rStyle w:val="FootnoteReference"/>
          <w:rFonts w:asciiTheme="minorHAnsi" w:hAnsiTheme="minorHAnsi" w:cstheme="minorHAnsi"/>
          <w:lang w:val="en-AU"/>
        </w:rPr>
        <w:footnoteReference w:id="9"/>
      </w:r>
      <w:r w:rsidRPr="00D24885">
        <w:rPr>
          <w:rFonts w:asciiTheme="minorHAnsi" w:hAnsiTheme="minorHAnsi" w:cstheme="minorHAnsi"/>
          <w:lang w:val="en-AU"/>
        </w:rPr>
        <w:t xml:space="preserve"> Public housing tenants are at even greater risk, with 58% living in poverty.</w:t>
      </w:r>
      <w:r w:rsidRPr="00D24885">
        <w:rPr>
          <w:rStyle w:val="FootnoteReference"/>
          <w:rFonts w:asciiTheme="minorHAnsi" w:hAnsiTheme="minorHAnsi" w:cstheme="minorHAnsi"/>
          <w:lang w:val="en-AU"/>
        </w:rPr>
        <w:footnoteReference w:id="10"/>
      </w:r>
      <w:r w:rsidRPr="00D24885">
        <w:rPr>
          <w:rFonts w:asciiTheme="minorHAnsi" w:hAnsiTheme="minorHAnsi" w:cstheme="minorHAnsi"/>
          <w:lang w:val="en-AU"/>
        </w:rPr>
        <w:t xml:space="preserve"> These figures demonstrate the failure of social security and housing policy in enabling individuals to access the basic need of housing without being driven into poverty.</w:t>
      </w:r>
    </w:p>
    <w:p w14:paraId="3DDC29EF" w14:textId="7E0206AD" w:rsidR="00777F2F" w:rsidRPr="00777F2F" w:rsidRDefault="00777F2F" w:rsidP="005369CE">
      <w:pPr>
        <w:rPr>
          <w:rFonts w:asciiTheme="minorHAnsi" w:hAnsiTheme="minorHAnsi" w:cstheme="minorHAnsi"/>
          <w:lang w:val="en-AU"/>
        </w:rPr>
      </w:pPr>
      <w:r>
        <w:rPr>
          <w:rFonts w:asciiTheme="minorHAnsi" w:hAnsiTheme="minorHAnsi" w:cstheme="minorHAnsi"/>
          <w:lang w:val="en-AU"/>
        </w:rPr>
        <w:t xml:space="preserve">For people with disability, lack of </w:t>
      </w:r>
      <w:r>
        <w:rPr>
          <w:rFonts w:asciiTheme="minorHAnsi" w:hAnsiTheme="minorHAnsi" w:cstheme="minorHAnsi"/>
          <w:i/>
          <w:iCs/>
          <w:lang w:val="en-AU"/>
        </w:rPr>
        <w:t>accessible</w:t>
      </w:r>
      <w:r>
        <w:rPr>
          <w:rFonts w:asciiTheme="minorHAnsi" w:hAnsiTheme="minorHAnsi" w:cstheme="minorHAnsi"/>
          <w:lang w:val="en-AU"/>
        </w:rPr>
        <w:t xml:space="preserve"> housing is also a critical issue</w:t>
      </w:r>
      <w:r w:rsidR="00D27DD2">
        <w:rPr>
          <w:rFonts w:asciiTheme="minorHAnsi" w:hAnsiTheme="minorHAnsi" w:cstheme="minorHAnsi"/>
          <w:lang w:val="en-AU"/>
        </w:rPr>
        <w:t xml:space="preserve">, </w:t>
      </w:r>
      <w:r w:rsidR="000F4DE1">
        <w:rPr>
          <w:rFonts w:asciiTheme="minorHAnsi" w:hAnsiTheme="minorHAnsi" w:cstheme="minorHAnsi"/>
          <w:lang w:val="en-AU"/>
        </w:rPr>
        <w:t xml:space="preserve">and </w:t>
      </w:r>
      <w:r w:rsidR="004C5FCB">
        <w:rPr>
          <w:rFonts w:asciiTheme="minorHAnsi" w:hAnsiTheme="minorHAnsi" w:cstheme="minorHAnsi"/>
          <w:lang w:val="en-AU"/>
        </w:rPr>
        <w:t xml:space="preserve">one that is further exacerbated by inconsistent adoption of the </w:t>
      </w:r>
      <w:r w:rsidR="00B47E52" w:rsidRPr="00B47E52">
        <w:rPr>
          <w:rFonts w:asciiTheme="minorHAnsi" w:hAnsiTheme="minorHAnsi" w:cstheme="minorHAnsi"/>
          <w:lang w:val="en-AU"/>
        </w:rPr>
        <w:t>minimum mandatory access standards in the National Construction Code</w:t>
      </w:r>
      <w:r w:rsidR="00B47E52">
        <w:rPr>
          <w:rFonts w:asciiTheme="minorHAnsi" w:hAnsiTheme="minorHAnsi" w:cstheme="minorHAnsi"/>
          <w:lang w:val="en-AU"/>
        </w:rPr>
        <w:t xml:space="preserve"> among the states and territories.</w:t>
      </w:r>
      <w:r w:rsidR="001D79E9">
        <w:rPr>
          <w:rFonts w:asciiTheme="minorHAnsi" w:hAnsiTheme="minorHAnsi" w:cstheme="minorHAnsi"/>
          <w:lang w:val="en-AU"/>
        </w:rPr>
        <w:t xml:space="preserve"> Currently, all states and territories excluding Western Australia and New South Wales</w:t>
      </w:r>
      <w:r w:rsidR="00960418">
        <w:rPr>
          <w:rFonts w:asciiTheme="minorHAnsi" w:hAnsiTheme="minorHAnsi" w:cstheme="minorHAnsi"/>
          <w:lang w:val="en-AU"/>
        </w:rPr>
        <w:t xml:space="preserve"> have agreed to a timeline for the adoption of </w:t>
      </w:r>
      <w:r w:rsidR="006A52CF">
        <w:rPr>
          <w:rFonts w:asciiTheme="minorHAnsi" w:hAnsiTheme="minorHAnsi" w:cstheme="minorHAnsi"/>
          <w:lang w:val="en-AU"/>
        </w:rPr>
        <w:t>the standards</w:t>
      </w:r>
      <w:r w:rsidR="00393E38">
        <w:rPr>
          <w:rFonts w:asciiTheme="minorHAnsi" w:hAnsiTheme="minorHAnsi" w:cstheme="minorHAnsi"/>
          <w:lang w:val="en-AU"/>
        </w:rPr>
        <w:t xml:space="preserve">. </w:t>
      </w:r>
      <w:r w:rsidR="00393E38" w:rsidRPr="00393E38">
        <w:rPr>
          <w:rFonts w:asciiTheme="minorHAnsi" w:hAnsiTheme="minorHAnsi" w:cstheme="minorHAnsi"/>
          <w:lang w:val="en-AU"/>
        </w:rPr>
        <w:t xml:space="preserve">Lack of accessible housing </w:t>
      </w:r>
      <w:r w:rsidR="001116AB">
        <w:rPr>
          <w:rFonts w:asciiTheme="minorHAnsi" w:hAnsiTheme="minorHAnsi" w:cstheme="minorHAnsi"/>
          <w:lang w:val="en-AU"/>
        </w:rPr>
        <w:t>means</w:t>
      </w:r>
      <w:r w:rsidR="00393E38" w:rsidRPr="00393E38">
        <w:rPr>
          <w:rFonts w:asciiTheme="minorHAnsi" w:hAnsiTheme="minorHAnsi" w:cstheme="minorHAnsi"/>
          <w:lang w:val="en-AU"/>
        </w:rPr>
        <w:t xml:space="preserve"> </w:t>
      </w:r>
      <w:r w:rsidR="00B77E23">
        <w:rPr>
          <w:rFonts w:asciiTheme="minorHAnsi" w:hAnsiTheme="minorHAnsi" w:cstheme="minorHAnsi"/>
          <w:lang w:val="en-AU"/>
        </w:rPr>
        <w:t>people wi</w:t>
      </w:r>
      <w:r w:rsidR="003E5266">
        <w:rPr>
          <w:rFonts w:asciiTheme="minorHAnsi" w:hAnsiTheme="minorHAnsi" w:cstheme="minorHAnsi"/>
          <w:lang w:val="en-AU"/>
        </w:rPr>
        <w:t xml:space="preserve">th disability </w:t>
      </w:r>
      <w:r w:rsidR="001116AB">
        <w:rPr>
          <w:rFonts w:asciiTheme="minorHAnsi" w:hAnsiTheme="minorHAnsi" w:cstheme="minorHAnsi"/>
          <w:lang w:val="en-AU"/>
        </w:rPr>
        <w:t>will either be</w:t>
      </w:r>
      <w:r w:rsidR="003E5266">
        <w:rPr>
          <w:rFonts w:asciiTheme="minorHAnsi" w:hAnsiTheme="minorHAnsi" w:cstheme="minorHAnsi"/>
          <w:lang w:val="en-AU"/>
        </w:rPr>
        <w:t xml:space="preserve"> </w:t>
      </w:r>
      <w:r w:rsidR="00C6154F">
        <w:rPr>
          <w:rFonts w:asciiTheme="minorHAnsi" w:hAnsiTheme="minorHAnsi" w:cstheme="minorHAnsi"/>
          <w:lang w:val="en-AU"/>
        </w:rPr>
        <w:t xml:space="preserve">unable to find suitable </w:t>
      </w:r>
      <w:r w:rsidR="005369CE">
        <w:rPr>
          <w:rFonts w:asciiTheme="minorHAnsi" w:hAnsiTheme="minorHAnsi" w:cstheme="minorHAnsi"/>
          <w:lang w:val="en-AU"/>
        </w:rPr>
        <w:t>accommodation</w:t>
      </w:r>
      <w:r w:rsidR="001116AB">
        <w:rPr>
          <w:rFonts w:asciiTheme="minorHAnsi" w:hAnsiTheme="minorHAnsi" w:cstheme="minorHAnsi"/>
          <w:lang w:val="en-AU"/>
        </w:rPr>
        <w:t xml:space="preserve">, will be </w:t>
      </w:r>
      <w:r w:rsidR="003E5266">
        <w:rPr>
          <w:rFonts w:asciiTheme="minorHAnsi" w:hAnsiTheme="minorHAnsi" w:cstheme="minorHAnsi"/>
          <w:lang w:val="en-AU"/>
        </w:rPr>
        <w:t xml:space="preserve">forced to make </w:t>
      </w:r>
      <w:r w:rsidR="00393E38" w:rsidRPr="00393E38">
        <w:rPr>
          <w:rFonts w:asciiTheme="minorHAnsi" w:hAnsiTheme="minorHAnsi" w:cstheme="minorHAnsi"/>
          <w:lang w:val="en-AU"/>
        </w:rPr>
        <w:t xml:space="preserve">modifications </w:t>
      </w:r>
      <w:r w:rsidR="003E5266">
        <w:rPr>
          <w:rFonts w:asciiTheme="minorHAnsi" w:hAnsiTheme="minorHAnsi" w:cstheme="minorHAnsi"/>
          <w:lang w:val="en-AU"/>
        </w:rPr>
        <w:t>at their own cost</w:t>
      </w:r>
      <w:r w:rsidR="00C6154F">
        <w:rPr>
          <w:rFonts w:asciiTheme="minorHAnsi" w:hAnsiTheme="minorHAnsi" w:cstheme="minorHAnsi"/>
          <w:lang w:val="en-AU"/>
        </w:rPr>
        <w:t xml:space="preserve">, </w:t>
      </w:r>
      <w:r w:rsidR="001116AB">
        <w:rPr>
          <w:rFonts w:asciiTheme="minorHAnsi" w:hAnsiTheme="minorHAnsi" w:cstheme="minorHAnsi"/>
          <w:lang w:val="en-AU"/>
        </w:rPr>
        <w:t xml:space="preserve">or will be forced to </w:t>
      </w:r>
      <w:r w:rsidR="0096444C">
        <w:rPr>
          <w:rFonts w:asciiTheme="minorHAnsi" w:hAnsiTheme="minorHAnsi" w:cstheme="minorHAnsi"/>
          <w:lang w:val="en-AU"/>
        </w:rPr>
        <w:t>live in more expensive housing</w:t>
      </w:r>
      <w:r w:rsidR="00C6154F">
        <w:rPr>
          <w:rFonts w:asciiTheme="minorHAnsi" w:hAnsiTheme="minorHAnsi" w:cstheme="minorHAnsi"/>
          <w:lang w:val="en-AU"/>
        </w:rPr>
        <w:t xml:space="preserve"> that </w:t>
      </w:r>
      <w:r w:rsidR="005369CE">
        <w:rPr>
          <w:rFonts w:asciiTheme="minorHAnsi" w:hAnsiTheme="minorHAnsi" w:cstheme="minorHAnsi"/>
          <w:lang w:val="en-AU"/>
        </w:rPr>
        <w:t>is accessible,</w:t>
      </w:r>
      <w:r w:rsidR="00C6154F">
        <w:rPr>
          <w:rFonts w:asciiTheme="minorHAnsi" w:hAnsiTheme="minorHAnsi" w:cstheme="minorHAnsi"/>
          <w:lang w:val="en-AU"/>
        </w:rPr>
        <w:t xml:space="preserve"> </w:t>
      </w:r>
      <w:r w:rsidR="005369CE">
        <w:rPr>
          <w:rFonts w:asciiTheme="minorHAnsi" w:hAnsiTheme="minorHAnsi" w:cstheme="minorHAnsi"/>
          <w:lang w:val="en-AU"/>
        </w:rPr>
        <w:t>all further adding</w:t>
      </w:r>
      <w:r w:rsidR="0096444C">
        <w:rPr>
          <w:rFonts w:asciiTheme="minorHAnsi" w:hAnsiTheme="minorHAnsi" w:cstheme="minorHAnsi"/>
          <w:lang w:val="en-AU"/>
        </w:rPr>
        <w:t xml:space="preserve"> to their financial burden.</w:t>
      </w:r>
    </w:p>
    <w:p w14:paraId="1E68D68D" w14:textId="77777777" w:rsidR="00483AC4" w:rsidRPr="00D24885" w:rsidRDefault="00483AC4" w:rsidP="005369CE">
      <w:pPr>
        <w:rPr>
          <w:rFonts w:asciiTheme="minorHAnsi" w:hAnsiTheme="minorHAnsi" w:cstheme="minorHAnsi"/>
          <w:lang w:val="en-AU"/>
        </w:rPr>
      </w:pPr>
      <w:r w:rsidRPr="00D24885">
        <w:rPr>
          <w:rFonts w:asciiTheme="minorHAnsi" w:hAnsiTheme="minorHAnsi" w:cstheme="minorHAnsi"/>
          <w:lang w:val="en-AU"/>
        </w:rPr>
        <w:t>In regard to people with disability:</w:t>
      </w:r>
    </w:p>
    <w:p w14:paraId="36FBADAC" w14:textId="6777A7BA" w:rsidR="00483AC4" w:rsidRPr="00D24885" w:rsidRDefault="00483AC4" w:rsidP="005369CE">
      <w:pPr>
        <w:pStyle w:val="ListParagraph"/>
        <w:numPr>
          <w:ilvl w:val="0"/>
          <w:numId w:val="24"/>
        </w:numPr>
        <w:spacing w:before="0" w:after="200"/>
        <w:rPr>
          <w:rFonts w:asciiTheme="minorHAnsi" w:hAnsiTheme="minorHAnsi" w:cstheme="minorHAnsi"/>
          <w:lang w:val="en-AU"/>
        </w:rPr>
      </w:pPr>
      <w:r w:rsidRPr="00D24885">
        <w:rPr>
          <w:rFonts w:asciiTheme="minorHAnsi" w:hAnsiTheme="minorHAnsi" w:cstheme="minorHAnsi"/>
          <w:lang w:val="en-AU"/>
        </w:rPr>
        <w:t xml:space="preserve">Of households who had at least one individual receiving DSP and were receiving Commonwealth Rent Assistance (CRA) </w:t>
      </w:r>
      <w:r w:rsidR="00C6154F">
        <w:rPr>
          <w:rFonts w:asciiTheme="minorHAnsi" w:hAnsiTheme="minorHAnsi" w:cstheme="minorHAnsi"/>
          <w:lang w:val="en-AU"/>
        </w:rPr>
        <w:t xml:space="preserve">as </w:t>
      </w:r>
      <w:r w:rsidRPr="00D24885">
        <w:rPr>
          <w:rFonts w:asciiTheme="minorHAnsi" w:hAnsiTheme="minorHAnsi" w:cstheme="minorHAnsi"/>
          <w:lang w:val="en-AU"/>
        </w:rPr>
        <w:t>at June 2020, 32% were in rental stress</w:t>
      </w:r>
      <w:r w:rsidRPr="00D24885">
        <w:rPr>
          <w:rStyle w:val="FootnoteReference"/>
          <w:rFonts w:asciiTheme="minorHAnsi" w:hAnsiTheme="minorHAnsi" w:cstheme="minorHAnsi"/>
          <w:lang w:val="en-AU"/>
        </w:rPr>
        <w:footnoteReference w:id="11"/>
      </w:r>
      <w:r w:rsidRPr="00D24885">
        <w:rPr>
          <w:rFonts w:asciiTheme="minorHAnsi" w:hAnsiTheme="minorHAnsi" w:cstheme="minorHAnsi"/>
          <w:lang w:val="en-AU"/>
        </w:rPr>
        <w:t xml:space="preserve"> after receipt of CRA; without CRA, 72% of these households would be in rental stress. This compares with 29% in rental stress after receipt of CRA and 55% in rental stress without CRA for all households receiving CRA.</w:t>
      </w:r>
      <w:r w:rsidRPr="00D24885">
        <w:rPr>
          <w:rStyle w:val="FootnoteReference"/>
          <w:rFonts w:asciiTheme="minorHAnsi" w:hAnsiTheme="minorHAnsi" w:cstheme="minorHAnsi"/>
          <w:lang w:val="en-AU"/>
        </w:rPr>
        <w:footnoteReference w:id="12"/>
      </w:r>
      <w:r w:rsidR="001116AB">
        <w:rPr>
          <w:rFonts w:asciiTheme="minorHAnsi" w:hAnsiTheme="minorHAnsi" w:cstheme="minorHAnsi"/>
          <w:lang w:val="en-AU"/>
        </w:rPr>
        <w:br/>
      </w:r>
    </w:p>
    <w:p w14:paraId="70428024" w14:textId="746A7CFC" w:rsidR="00483AC4" w:rsidRPr="00D24885" w:rsidRDefault="00483AC4" w:rsidP="005369CE">
      <w:pPr>
        <w:pStyle w:val="ListParagraph"/>
        <w:numPr>
          <w:ilvl w:val="0"/>
          <w:numId w:val="24"/>
        </w:numPr>
        <w:spacing w:before="0" w:after="200"/>
        <w:rPr>
          <w:rFonts w:asciiTheme="minorHAnsi" w:hAnsiTheme="minorHAnsi" w:cstheme="minorHAnsi"/>
          <w:lang w:val="en-AU"/>
        </w:rPr>
      </w:pPr>
      <w:r w:rsidRPr="00D24885">
        <w:rPr>
          <w:rFonts w:asciiTheme="minorHAnsi" w:hAnsiTheme="minorHAnsi" w:cstheme="minorHAnsi"/>
          <w:lang w:val="en-AU"/>
        </w:rPr>
        <w:t xml:space="preserve">Only 0.3% of 74,300 rental properties, equating to 240 properties total, advertised in Australia on a selected weekend in March 2021 were affordable and appropriate for single people aged 21 and over receiving the DSP, compared with 1.2% (or 860 </w:t>
      </w:r>
      <w:r w:rsidRPr="00D24885">
        <w:rPr>
          <w:rFonts w:asciiTheme="minorHAnsi" w:hAnsiTheme="minorHAnsi" w:cstheme="minorHAnsi"/>
          <w:lang w:val="en-AU"/>
        </w:rPr>
        <w:lastRenderedPageBreak/>
        <w:t>properties total) for a single person receiving minimum wage.</w:t>
      </w:r>
      <w:r w:rsidRPr="00D24885">
        <w:rPr>
          <w:rStyle w:val="FootnoteReference"/>
          <w:rFonts w:asciiTheme="minorHAnsi" w:hAnsiTheme="minorHAnsi" w:cstheme="minorHAnsi"/>
          <w:lang w:val="en-AU"/>
        </w:rPr>
        <w:footnoteReference w:id="13"/>
      </w:r>
      <w:r w:rsidR="001116AB">
        <w:rPr>
          <w:rFonts w:asciiTheme="minorHAnsi" w:hAnsiTheme="minorHAnsi" w:cstheme="minorHAnsi"/>
          <w:lang w:val="en-AU"/>
        </w:rPr>
        <w:br/>
      </w:r>
    </w:p>
    <w:p w14:paraId="31A80D6B" w14:textId="0F0B7F38" w:rsidR="00E96D78" w:rsidRPr="001116AB" w:rsidRDefault="00483AC4" w:rsidP="005369CE">
      <w:pPr>
        <w:pStyle w:val="ListParagraph"/>
        <w:numPr>
          <w:ilvl w:val="0"/>
          <w:numId w:val="24"/>
        </w:numPr>
        <w:spacing w:before="0" w:after="200"/>
        <w:rPr>
          <w:rFonts w:asciiTheme="minorHAnsi" w:hAnsiTheme="minorHAnsi" w:cstheme="minorHAnsi"/>
          <w:lang w:val="en-AU"/>
        </w:rPr>
      </w:pPr>
      <w:r w:rsidRPr="00D24885">
        <w:rPr>
          <w:rFonts w:asciiTheme="minorHAnsi" w:hAnsiTheme="minorHAnsi" w:cstheme="minorHAnsi"/>
          <w:lang w:val="en-AU"/>
        </w:rPr>
        <w:t>Of clients who had accessed Specialist Homelessness Services (SHS) in 2021-2022, 3% or 7,300 had a disability.</w:t>
      </w:r>
      <w:r w:rsidRPr="00D24885">
        <w:rPr>
          <w:rStyle w:val="FootnoteReference"/>
          <w:rFonts w:asciiTheme="minorHAnsi" w:hAnsiTheme="minorHAnsi" w:cstheme="minorHAnsi"/>
          <w:lang w:val="en-AU"/>
        </w:rPr>
        <w:footnoteReference w:id="14"/>
      </w:r>
      <w:r w:rsidRPr="00D24885">
        <w:rPr>
          <w:rFonts w:asciiTheme="minorHAnsi" w:hAnsiTheme="minorHAnsi" w:cstheme="minorHAnsi"/>
          <w:lang w:val="en-AU"/>
        </w:rPr>
        <w:t xml:space="preserve"> Two thirds of these had previously been assisted by a SHS agency at some point since July 2011.</w:t>
      </w:r>
      <w:r w:rsidRPr="00D24885">
        <w:rPr>
          <w:rStyle w:val="FootnoteReference"/>
          <w:rFonts w:asciiTheme="minorHAnsi" w:hAnsiTheme="minorHAnsi" w:cstheme="minorHAnsi"/>
          <w:lang w:val="en-AU"/>
        </w:rPr>
        <w:footnoteReference w:id="15"/>
      </w:r>
      <w:r w:rsidR="001116AB">
        <w:rPr>
          <w:rFonts w:asciiTheme="minorHAnsi" w:hAnsiTheme="minorHAnsi" w:cstheme="minorHAnsi"/>
          <w:lang w:val="en-AU"/>
        </w:rPr>
        <w:br/>
      </w:r>
    </w:p>
    <w:p w14:paraId="231696BC" w14:textId="230ABBE7" w:rsidR="006B717E" w:rsidRPr="00D24885" w:rsidRDefault="000560A4" w:rsidP="005369CE">
      <w:pPr>
        <w:pStyle w:val="NoSpacing"/>
        <w:spacing w:after="200" w:line="276" w:lineRule="auto"/>
        <w:rPr>
          <w:rFonts w:asciiTheme="minorHAnsi" w:hAnsiTheme="minorHAnsi" w:cstheme="minorHAnsi"/>
          <w:color w:val="auto"/>
          <w:sz w:val="24"/>
          <w:szCs w:val="24"/>
          <w:lang w:val="en-AU" w:eastAsia="zh-CN"/>
        </w:rPr>
      </w:pPr>
      <w:r w:rsidRPr="00D24885">
        <w:rPr>
          <w:rFonts w:asciiTheme="minorHAnsi" w:hAnsiTheme="minorHAnsi" w:cstheme="minorHAnsi"/>
          <w:color w:val="auto"/>
          <w:sz w:val="24"/>
          <w:szCs w:val="24"/>
          <w:lang w:val="en-AU" w:eastAsia="zh-CN"/>
        </w:rPr>
        <w:t xml:space="preserve">To address the cost of living crisis, </w:t>
      </w:r>
      <w:r w:rsidR="00193F83" w:rsidRPr="00D24885">
        <w:rPr>
          <w:rFonts w:asciiTheme="minorHAnsi" w:hAnsiTheme="minorHAnsi" w:cstheme="minorHAnsi"/>
          <w:color w:val="auto"/>
          <w:sz w:val="24"/>
          <w:szCs w:val="24"/>
          <w:lang w:val="en-AU" w:eastAsia="zh-CN"/>
        </w:rPr>
        <w:t xml:space="preserve">the government </w:t>
      </w:r>
      <w:r w:rsidR="0096183E" w:rsidRPr="00D24885">
        <w:rPr>
          <w:rFonts w:asciiTheme="minorHAnsi" w:hAnsiTheme="minorHAnsi" w:cstheme="minorHAnsi"/>
          <w:color w:val="auto"/>
          <w:sz w:val="24"/>
          <w:szCs w:val="24"/>
          <w:lang w:val="en-AU" w:eastAsia="zh-CN"/>
        </w:rPr>
        <w:t>should implement a national housing strategy that includes provisions for both</w:t>
      </w:r>
      <w:r w:rsidR="00347B55" w:rsidRPr="00D24885">
        <w:rPr>
          <w:rFonts w:asciiTheme="minorHAnsi" w:hAnsiTheme="minorHAnsi" w:cstheme="minorHAnsi"/>
          <w:color w:val="auto"/>
          <w:sz w:val="24"/>
          <w:szCs w:val="24"/>
          <w:lang w:val="en-AU" w:eastAsia="zh-CN"/>
        </w:rPr>
        <w:t xml:space="preserve"> building new housing</w:t>
      </w:r>
      <w:r w:rsidR="006E3269" w:rsidRPr="00D24885">
        <w:rPr>
          <w:rFonts w:asciiTheme="minorHAnsi" w:hAnsiTheme="minorHAnsi" w:cstheme="minorHAnsi"/>
          <w:color w:val="auto"/>
          <w:sz w:val="24"/>
          <w:szCs w:val="24"/>
          <w:lang w:val="en-AU" w:eastAsia="zh-CN"/>
        </w:rPr>
        <w:t xml:space="preserve"> – </w:t>
      </w:r>
      <w:r w:rsidR="00347B55" w:rsidRPr="00D24885">
        <w:rPr>
          <w:rFonts w:asciiTheme="minorHAnsi" w:hAnsiTheme="minorHAnsi" w:cstheme="minorHAnsi"/>
          <w:color w:val="auto"/>
          <w:sz w:val="24"/>
          <w:szCs w:val="24"/>
          <w:lang w:val="en-AU" w:eastAsia="zh-CN"/>
        </w:rPr>
        <w:t>including social housing</w:t>
      </w:r>
      <w:r w:rsidR="006E3269" w:rsidRPr="00D24885">
        <w:rPr>
          <w:rFonts w:asciiTheme="minorHAnsi" w:hAnsiTheme="minorHAnsi" w:cstheme="minorHAnsi"/>
          <w:color w:val="auto"/>
          <w:sz w:val="24"/>
          <w:szCs w:val="24"/>
          <w:lang w:val="en-AU" w:eastAsia="zh-CN"/>
        </w:rPr>
        <w:t xml:space="preserve"> </w:t>
      </w:r>
      <w:r w:rsidR="0096444C">
        <w:rPr>
          <w:rFonts w:asciiTheme="minorHAnsi" w:hAnsiTheme="minorHAnsi" w:cstheme="minorHAnsi"/>
          <w:color w:val="auto"/>
          <w:sz w:val="24"/>
          <w:szCs w:val="24"/>
          <w:lang w:val="en-AU" w:eastAsia="zh-CN"/>
        </w:rPr>
        <w:t>and accessible housing</w:t>
      </w:r>
      <w:r w:rsidR="00C6154F">
        <w:rPr>
          <w:rFonts w:asciiTheme="minorHAnsi" w:hAnsiTheme="minorHAnsi" w:cstheme="minorHAnsi"/>
          <w:color w:val="auto"/>
          <w:sz w:val="24"/>
          <w:szCs w:val="24"/>
          <w:lang w:val="en-AU" w:eastAsia="zh-CN"/>
        </w:rPr>
        <w:t xml:space="preserve">, </w:t>
      </w:r>
      <w:r w:rsidR="0087732C">
        <w:rPr>
          <w:rFonts w:asciiTheme="minorHAnsi" w:hAnsiTheme="minorHAnsi" w:cstheme="minorHAnsi"/>
          <w:color w:val="auto"/>
          <w:sz w:val="24"/>
          <w:szCs w:val="24"/>
          <w:lang w:val="en-AU" w:eastAsia="zh-CN"/>
        </w:rPr>
        <w:t xml:space="preserve">inclusive of requiring </w:t>
      </w:r>
      <w:r w:rsidR="00C6154F">
        <w:rPr>
          <w:rFonts w:asciiTheme="minorHAnsi" w:hAnsiTheme="minorHAnsi" w:cstheme="minorHAnsi"/>
          <w:color w:val="auto"/>
          <w:sz w:val="24"/>
          <w:szCs w:val="24"/>
          <w:lang w:val="en-AU" w:eastAsia="zh-CN"/>
        </w:rPr>
        <w:t xml:space="preserve">a program to retrofit and modify a percentage of existing social housing to a minimum accessibility threshold </w:t>
      </w:r>
      <w:r w:rsidR="006E3269" w:rsidRPr="00D24885">
        <w:rPr>
          <w:rFonts w:asciiTheme="minorHAnsi" w:hAnsiTheme="minorHAnsi" w:cstheme="minorHAnsi"/>
          <w:color w:val="auto"/>
          <w:sz w:val="24"/>
          <w:szCs w:val="24"/>
          <w:lang w:val="en-AU" w:eastAsia="zh-CN"/>
        </w:rPr>
        <w:t>–</w:t>
      </w:r>
      <w:r w:rsidR="00347B55" w:rsidRPr="00D24885">
        <w:rPr>
          <w:rFonts w:asciiTheme="minorHAnsi" w:hAnsiTheme="minorHAnsi" w:cstheme="minorHAnsi"/>
          <w:color w:val="auto"/>
          <w:sz w:val="24"/>
          <w:szCs w:val="24"/>
          <w:lang w:val="en-AU" w:eastAsia="zh-CN"/>
        </w:rPr>
        <w:t xml:space="preserve"> and regulat</w:t>
      </w:r>
      <w:r w:rsidR="00C6154F">
        <w:rPr>
          <w:rFonts w:asciiTheme="minorHAnsi" w:hAnsiTheme="minorHAnsi" w:cstheme="minorHAnsi"/>
          <w:color w:val="auto"/>
          <w:sz w:val="24"/>
          <w:szCs w:val="24"/>
          <w:lang w:val="en-AU" w:eastAsia="zh-CN"/>
        </w:rPr>
        <w:t>e</w:t>
      </w:r>
      <w:r w:rsidR="00347B55" w:rsidRPr="00D24885">
        <w:rPr>
          <w:rFonts w:asciiTheme="minorHAnsi" w:hAnsiTheme="minorHAnsi" w:cstheme="minorHAnsi"/>
          <w:color w:val="auto"/>
          <w:sz w:val="24"/>
          <w:szCs w:val="24"/>
          <w:lang w:val="en-AU" w:eastAsia="zh-CN"/>
        </w:rPr>
        <w:t xml:space="preserve"> the private rental market.</w:t>
      </w:r>
    </w:p>
    <w:p w14:paraId="7F6181ED" w14:textId="23FD59F3" w:rsidR="00E96D78" w:rsidRPr="001116AB" w:rsidRDefault="006B717E" w:rsidP="001116AB">
      <w:pPr>
        <w:pStyle w:val="NoSpacing"/>
        <w:spacing w:after="200" w:line="276" w:lineRule="auto"/>
        <w:jc w:val="center"/>
        <w:rPr>
          <w:rFonts w:asciiTheme="minorHAnsi" w:hAnsiTheme="minorHAnsi" w:cstheme="minorHAnsi"/>
          <w:color w:val="auto"/>
          <w:sz w:val="24"/>
          <w:szCs w:val="24"/>
          <w:lang w:val="en-AU" w:eastAsia="zh-CN"/>
        </w:rPr>
      </w:pPr>
      <w:r w:rsidRPr="00D24885">
        <w:rPr>
          <w:noProof/>
          <w:lang w:val="en-AU"/>
        </w:rPr>
        <mc:AlternateContent>
          <mc:Choice Requires="wps">
            <w:drawing>
              <wp:anchor distT="0" distB="0" distL="114300" distR="114300" simplePos="0" relativeHeight="251669504" behindDoc="0" locked="0" layoutInCell="1" allowOverlap="1" wp14:anchorId="5934FE08" wp14:editId="48C6FD25">
                <wp:simplePos x="0" y="0"/>
                <wp:positionH relativeFrom="column">
                  <wp:posOffset>224608</wp:posOffset>
                </wp:positionH>
                <wp:positionV relativeFrom="paragraph">
                  <wp:posOffset>57332</wp:posOffset>
                </wp:positionV>
                <wp:extent cx="51587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58740" cy="0"/>
                        </a:xfrm>
                        <a:prstGeom prst="line">
                          <a:avLst/>
                        </a:prstGeom>
                        <a:ln w="1905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338F2"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7pt,4.5pt" to="423.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" strokecolor="#066" strokeweight="1.5pt">
                <v:stroke joinstyle="miter"/>
              </v:line>
            </w:pict>
          </mc:Fallback>
        </mc:AlternateContent>
      </w:r>
    </w:p>
    <w:p w14:paraId="1E28B8FF" w14:textId="5E522BCA" w:rsidR="0096444C" w:rsidRPr="00D24885" w:rsidRDefault="0096444C" w:rsidP="005369CE">
      <w:pPr>
        <w:rPr>
          <w:rFonts w:asciiTheme="minorHAnsi" w:hAnsiTheme="minorHAnsi" w:cstheme="minorHAnsi"/>
          <w:lang w:val="en-AU"/>
        </w:rPr>
      </w:pPr>
      <w:r w:rsidRPr="00D24885">
        <w:rPr>
          <w:rFonts w:asciiTheme="minorHAnsi" w:hAnsiTheme="minorHAnsi" w:cstheme="minorHAnsi"/>
          <w:b/>
          <w:bCs/>
          <w:lang w:val="en-AU"/>
        </w:rPr>
        <w:t>Recommendation:</w:t>
      </w:r>
      <w:r w:rsidRPr="00D24885">
        <w:rPr>
          <w:rFonts w:asciiTheme="minorHAnsi" w:hAnsiTheme="minorHAnsi" w:cstheme="minorHAnsi"/>
          <w:lang w:val="en-AU"/>
        </w:rPr>
        <w:t xml:space="preserve"> </w:t>
      </w:r>
      <w:r>
        <w:rPr>
          <w:rFonts w:asciiTheme="minorHAnsi" w:hAnsiTheme="minorHAnsi" w:cstheme="minorHAnsi"/>
          <w:lang w:val="en-AU"/>
        </w:rPr>
        <w:t xml:space="preserve">That the federal government </w:t>
      </w:r>
      <w:r w:rsidRPr="00D24885">
        <w:rPr>
          <w:rFonts w:asciiTheme="minorHAnsi" w:hAnsiTheme="minorHAnsi" w:cstheme="minorHAnsi"/>
          <w:lang w:val="en-AU"/>
        </w:rPr>
        <w:t xml:space="preserve">take a leadership role </w:t>
      </w:r>
      <w:r>
        <w:rPr>
          <w:rFonts w:asciiTheme="minorHAnsi" w:hAnsiTheme="minorHAnsi" w:cstheme="minorHAnsi"/>
          <w:lang w:val="en-AU"/>
        </w:rPr>
        <w:t>in</w:t>
      </w:r>
      <w:r w:rsidRPr="00D24885">
        <w:rPr>
          <w:rFonts w:asciiTheme="minorHAnsi" w:hAnsiTheme="minorHAnsi" w:cstheme="minorHAnsi"/>
          <w:lang w:val="en-AU"/>
        </w:rPr>
        <w:t xml:space="preserve"> develop</w:t>
      </w:r>
      <w:r>
        <w:rPr>
          <w:rFonts w:asciiTheme="minorHAnsi" w:hAnsiTheme="minorHAnsi" w:cstheme="minorHAnsi"/>
          <w:lang w:val="en-AU"/>
        </w:rPr>
        <w:t>ing</w:t>
      </w:r>
      <w:r w:rsidRPr="00D24885">
        <w:rPr>
          <w:rFonts w:asciiTheme="minorHAnsi" w:hAnsiTheme="minorHAnsi" w:cstheme="minorHAnsi"/>
          <w:lang w:val="en-AU"/>
        </w:rPr>
        <w:t xml:space="preserve"> and implement</w:t>
      </w:r>
      <w:r>
        <w:rPr>
          <w:rFonts w:asciiTheme="minorHAnsi" w:hAnsiTheme="minorHAnsi" w:cstheme="minorHAnsi"/>
          <w:lang w:val="en-AU"/>
        </w:rPr>
        <w:t>ing</w:t>
      </w:r>
      <w:r w:rsidRPr="00D24885">
        <w:rPr>
          <w:rFonts w:asciiTheme="minorHAnsi" w:hAnsiTheme="minorHAnsi" w:cstheme="minorHAnsi"/>
          <w:lang w:val="en-AU"/>
        </w:rPr>
        <w:t xml:space="preserve"> a national housing strategy with all </w:t>
      </w:r>
      <w:r>
        <w:rPr>
          <w:rFonts w:asciiTheme="minorHAnsi" w:hAnsiTheme="minorHAnsi" w:cstheme="minorHAnsi"/>
          <w:lang w:val="en-AU"/>
        </w:rPr>
        <w:t xml:space="preserve">state and territory </w:t>
      </w:r>
      <w:r w:rsidRPr="00D24885">
        <w:rPr>
          <w:rFonts w:asciiTheme="minorHAnsi" w:hAnsiTheme="minorHAnsi" w:cstheme="minorHAnsi"/>
          <w:lang w:val="en-AU"/>
        </w:rPr>
        <w:t xml:space="preserve">governments, </w:t>
      </w:r>
      <w:r>
        <w:rPr>
          <w:rFonts w:asciiTheme="minorHAnsi" w:hAnsiTheme="minorHAnsi" w:cstheme="minorHAnsi"/>
          <w:lang w:val="en-AU"/>
        </w:rPr>
        <w:t xml:space="preserve">encompassing </w:t>
      </w:r>
      <w:r w:rsidRPr="00D24885">
        <w:rPr>
          <w:rFonts w:asciiTheme="minorHAnsi" w:hAnsiTheme="minorHAnsi" w:cstheme="minorHAnsi"/>
          <w:lang w:val="en-AU"/>
        </w:rPr>
        <w:t>all areas of the housing market, and utilis</w:t>
      </w:r>
      <w:r>
        <w:rPr>
          <w:rFonts w:asciiTheme="minorHAnsi" w:hAnsiTheme="minorHAnsi" w:cstheme="minorHAnsi"/>
          <w:lang w:val="en-AU"/>
        </w:rPr>
        <w:t>ing</w:t>
      </w:r>
      <w:r w:rsidRPr="00D24885">
        <w:rPr>
          <w:rFonts w:asciiTheme="minorHAnsi" w:hAnsiTheme="minorHAnsi" w:cstheme="minorHAnsi"/>
          <w:lang w:val="en-AU"/>
        </w:rPr>
        <w:t xml:space="preserve"> a broad range of policy levers towards both short-term and long-term solutions.</w:t>
      </w:r>
    </w:p>
    <w:p w14:paraId="1B4DD2F9" w14:textId="233CFF4F" w:rsidR="0096444C" w:rsidRDefault="0096444C" w:rsidP="005369CE">
      <w:pPr>
        <w:rPr>
          <w:rFonts w:asciiTheme="minorHAnsi" w:hAnsiTheme="minorHAnsi" w:cstheme="minorHAnsi"/>
          <w:lang w:val="en-AU"/>
        </w:rPr>
      </w:pPr>
      <w:r w:rsidRPr="00D24885">
        <w:rPr>
          <w:rFonts w:asciiTheme="minorHAnsi" w:hAnsiTheme="minorHAnsi" w:cstheme="minorHAnsi"/>
          <w:b/>
          <w:bCs/>
          <w:lang w:val="en-AU"/>
        </w:rPr>
        <w:t>Recommendation:</w:t>
      </w:r>
      <w:r w:rsidRPr="00D24885">
        <w:rPr>
          <w:rFonts w:asciiTheme="minorHAnsi" w:hAnsiTheme="minorHAnsi" w:cstheme="minorHAnsi"/>
          <w:lang w:val="en-AU"/>
        </w:rPr>
        <w:t xml:space="preserve"> </w:t>
      </w:r>
      <w:r>
        <w:rPr>
          <w:rFonts w:asciiTheme="minorHAnsi" w:hAnsiTheme="minorHAnsi" w:cstheme="minorHAnsi"/>
          <w:lang w:val="en-AU"/>
        </w:rPr>
        <w:t xml:space="preserve">That the federal government </w:t>
      </w:r>
      <w:r w:rsidRPr="00D24885">
        <w:rPr>
          <w:rFonts w:asciiTheme="minorHAnsi" w:hAnsiTheme="minorHAnsi" w:cstheme="minorHAnsi"/>
          <w:lang w:val="en-AU"/>
        </w:rPr>
        <w:t xml:space="preserve">take a leadership role </w:t>
      </w:r>
      <w:r>
        <w:rPr>
          <w:rFonts w:asciiTheme="minorHAnsi" w:hAnsiTheme="minorHAnsi" w:cstheme="minorHAnsi"/>
          <w:lang w:val="en-AU"/>
        </w:rPr>
        <w:t xml:space="preserve">in ensuring </w:t>
      </w:r>
      <w:r w:rsidRPr="00D24885">
        <w:rPr>
          <w:rFonts w:asciiTheme="minorHAnsi" w:hAnsiTheme="minorHAnsi" w:cstheme="minorHAnsi"/>
          <w:lang w:val="en-AU"/>
        </w:rPr>
        <w:t xml:space="preserve">all </w:t>
      </w:r>
      <w:r>
        <w:rPr>
          <w:rFonts w:asciiTheme="minorHAnsi" w:hAnsiTheme="minorHAnsi" w:cstheme="minorHAnsi"/>
          <w:lang w:val="en-AU"/>
        </w:rPr>
        <w:t xml:space="preserve">state and territory </w:t>
      </w:r>
      <w:r w:rsidRPr="00D24885">
        <w:rPr>
          <w:rFonts w:asciiTheme="minorHAnsi" w:hAnsiTheme="minorHAnsi" w:cstheme="minorHAnsi"/>
          <w:lang w:val="en-AU"/>
        </w:rPr>
        <w:t>governments commit to invest</w:t>
      </w:r>
      <w:r w:rsidR="002B3A20">
        <w:rPr>
          <w:rFonts w:asciiTheme="minorHAnsi" w:hAnsiTheme="minorHAnsi" w:cstheme="minorHAnsi"/>
          <w:lang w:val="en-AU"/>
        </w:rPr>
        <w:t>ing</w:t>
      </w:r>
      <w:r w:rsidRPr="00D24885">
        <w:rPr>
          <w:rFonts w:asciiTheme="minorHAnsi" w:hAnsiTheme="minorHAnsi" w:cstheme="minorHAnsi"/>
          <w:lang w:val="en-AU"/>
        </w:rPr>
        <w:t xml:space="preserve"> in social housing </w:t>
      </w:r>
      <w:r w:rsidR="002B3A20">
        <w:rPr>
          <w:rFonts w:asciiTheme="minorHAnsi" w:hAnsiTheme="minorHAnsi" w:cstheme="minorHAnsi"/>
          <w:lang w:val="en-AU"/>
        </w:rPr>
        <w:t>to</w:t>
      </w:r>
      <w:r w:rsidRPr="00D24885">
        <w:rPr>
          <w:rFonts w:asciiTheme="minorHAnsi" w:hAnsiTheme="minorHAnsi" w:cstheme="minorHAnsi"/>
          <w:lang w:val="en-AU"/>
        </w:rPr>
        <w:t xml:space="preserve"> immediately increase the supply of secure</w:t>
      </w:r>
      <w:r>
        <w:rPr>
          <w:rFonts w:asciiTheme="minorHAnsi" w:hAnsiTheme="minorHAnsi" w:cstheme="minorHAnsi"/>
          <w:lang w:val="en-AU"/>
        </w:rPr>
        <w:t xml:space="preserve">, </w:t>
      </w:r>
      <w:r w:rsidRPr="00D24885">
        <w:rPr>
          <w:rFonts w:asciiTheme="minorHAnsi" w:hAnsiTheme="minorHAnsi" w:cstheme="minorHAnsi"/>
          <w:lang w:val="en-AU"/>
        </w:rPr>
        <w:t>affordable</w:t>
      </w:r>
      <w:r>
        <w:rPr>
          <w:rFonts w:asciiTheme="minorHAnsi" w:hAnsiTheme="minorHAnsi" w:cstheme="minorHAnsi"/>
          <w:lang w:val="en-AU"/>
        </w:rPr>
        <w:t>, and accessible</w:t>
      </w:r>
      <w:r w:rsidRPr="00D24885">
        <w:rPr>
          <w:rFonts w:asciiTheme="minorHAnsi" w:hAnsiTheme="minorHAnsi" w:cstheme="minorHAnsi"/>
          <w:lang w:val="en-AU"/>
        </w:rPr>
        <w:t xml:space="preserve"> housing over a short to medium</w:t>
      </w:r>
      <w:r>
        <w:rPr>
          <w:rFonts w:asciiTheme="minorHAnsi" w:hAnsiTheme="minorHAnsi" w:cstheme="minorHAnsi"/>
          <w:lang w:val="en-AU"/>
        </w:rPr>
        <w:t>-</w:t>
      </w:r>
      <w:r w:rsidRPr="00D24885">
        <w:rPr>
          <w:rFonts w:asciiTheme="minorHAnsi" w:hAnsiTheme="minorHAnsi" w:cstheme="minorHAnsi"/>
          <w:lang w:val="en-AU"/>
        </w:rPr>
        <w:t>term timeframe.</w:t>
      </w:r>
    </w:p>
    <w:p w14:paraId="0FCE38EA" w14:textId="1B7B5DF7" w:rsidR="0087732C" w:rsidRPr="00D24885" w:rsidRDefault="0087732C" w:rsidP="005369CE">
      <w:pPr>
        <w:rPr>
          <w:rFonts w:asciiTheme="minorHAnsi" w:hAnsiTheme="minorHAnsi" w:cstheme="minorHAnsi"/>
          <w:lang w:val="en-AU"/>
        </w:rPr>
      </w:pPr>
      <w:r w:rsidRPr="00D24885">
        <w:rPr>
          <w:rFonts w:asciiTheme="minorHAnsi" w:hAnsiTheme="minorHAnsi" w:cstheme="minorHAnsi"/>
          <w:b/>
          <w:bCs/>
          <w:lang w:val="en-AU"/>
        </w:rPr>
        <w:t>Recommendation:</w:t>
      </w:r>
      <w:r w:rsidRPr="00D24885">
        <w:rPr>
          <w:rFonts w:asciiTheme="minorHAnsi" w:hAnsiTheme="minorHAnsi" w:cstheme="minorHAnsi"/>
          <w:lang w:val="en-AU"/>
        </w:rPr>
        <w:t xml:space="preserve"> </w:t>
      </w:r>
      <w:r>
        <w:rPr>
          <w:rFonts w:asciiTheme="minorHAnsi" w:hAnsiTheme="minorHAnsi" w:cstheme="minorHAnsi"/>
          <w:lang w:val="en-AU"/>
        </w:rPr>
        <w:t xml:space="preserve">That the federal government </w:t>
      </w:r>
      <w:r w:rsidRPr="00D24885">
        <w:rPr>
          <w:rFonts w:asciiTheme="minorHAnsi" w:hAnsiTheme="minorHAnsi" w:cstheme="minorHAnsi"/>
          <w:lang w:val="en-AU"/>
        </w:rPr>
        <w:t xml:space="preserve">take a leadership role </w:t>
      </w:r>
      <w:r>
        <w:rPr>
          <w:rFonts w:asciiTheme="minorHAnsi" w:hAnsiTheme="minorHAnsi" w:cstheme="minorHAnsi"/>
          <w:lang w:val="en-AU"/>
        </w:rPr>
        <w:t xml:space="preserve">in ensuring </w:t>
      </w:r>
      <w:r w:rsidRPr="00D24885">
        <w:rPr>
          <w:rFonts w:asciiTheme="minorHAnsi" w:hAnsiTheme="minorHAnsi" w:cstheme="minorHAnsi"/>
          <w:lang w:val="en-AU"/>
        </w:rPr>
        <w:t xml:space="preserve">all </w:t>
      </w:r>
      <w:r>
        <w:rPr>
          <w:rFonts w:asciiTheme="minorHAnsi" w:hAnsiTheme="minorHAnsi" w:cstheme="minorHAnsi"/>
          <w:lang w:val="en-AU"/>
        </w:rPr>
        <w:t xml:space="preserve">state and territory </w:t>
      </w:r>
      <w:r w:rsidRPr="00D24885">
        <w:rPr>
          <w:rFonts w:asciiTheme="minorHAnsi" w:hAnsiTheme="minorHAnsi" w:cstheme="minorHAnsi"/>
          <w:lang w:val="en-AU"/>
        </w:rPr>
        <w:t xml:space="preserve">governments commit to </w:t>
      </w:r>
      <w:r>
        <w:rPr>
          <w:rFonts w:asciiTheme="minorHAnsi" w:hAnsiTheme="minorHAnsi" w:cstheme="minorHAnsi"/>
          <w:lang w:val="en-AU"/>
        </w:rPr>
        <w:t xml:space="preserve">a </w:t>
      </w:r>
      <w:r>
        <w:rPr>
          <w:rFonts w:asciiTheme="minorHAnsi" w:hAnsiTheme="minorHAnsi" w:cstheme="minorHAnsi"/>
          <w:lang w:val="en-AU" w:eastAsia="zh-CN"/>
        </w:rPr>
        <w:t xml:space="preserve">program to retrofit and modify a percentage of existing social housing to a minimum accessibility threshold to </w:t>
      </w:r>
      <w:r w:rsidRPr="00D24885">
        <w:rPr>
          <w:rFonts w:asciiTheme="minorHAnsi" w:hAnsiTheme="minorHAnsi" w:cstheme="minorHAnsi"/>
          <w:lang w:val="en-AU"/>
        </w:rPr>
        <w:t>increase the supply of secure</w:t>
      </w:r>
      <w:r>
        <w:rPr>
          <w:rFonts w:asciiTheme="minorHAnsi" w:hAnsiTheme="minorHAnsi" w:cstheme="minorHAnsi"/>
          <w:lang w:val="en-AU"/>
        </w:rPr>
        <w:t xml:space="preserve">, </w:t>
      </w:r>
      <w:r w:rsidRPr="00D24885">
        <w:rPr>
          <w:rFonts w:asciiTheme="minorHAnsi" w:hAnsiTheme="minorHAnsi" w:cstheme="minorHAnsi"/>
          <w:lang w:val="en-AU"/>
        </w:rPr>
        <w:t>affordable</w:t>
      </w:r>
      <w:r>
        <w:rPr>
          <w:rFonts w:asciiTheme="minorHAnsi" w:hAnsiTheme="minorHAnsi" w:cstheme="minorHAnsi"/>
          <w:lang w:val="en-AU"/>
        </w:rPr>
        <w:t>, and accessible</w:t>
      </w:r>
      <w:r w:rsidRPr="00D24885">
        <w:rPr>
          <w:rFonts w:asciiTheme="minorHAnsi" w:hAnsiTheme="minorHAnsi" w:cstheme="minorHAnsi"/>
          <w:lang w:val="en-AU"/>
        </w:rPr>
        <w:t xml:space="preserve"> housing </w:t>
      </w:r>
      <w:r>
        <w:rPr>
          <w:rFonts w:asciiTheme="minorHAnsi" w:hAnsiTheme="minorHAnsi" w:cstheme="minorHAnsi"/>
          <w:lang w:val="en-AU"/>
        </w:rPr>
        <w:t>ove</w:t>
      </w:r>
      <w:r w:rsidRPr="00D24885">
        <w:rPr>
          <w:rFonts w:asciiTheme="minorHAnsi" w:hAnsiTheme="minorHAnsi" w:cstheme="minorHAnsi"/>
          <w:lang w:val="en-AU"/>
        </w:rPr>
        <w:t>r short to medium</w:t>
      </w:r>
      <w:r>
        <w:rPr>
          <w:rFonts w:asciiTheme="minorHAnsi" w:hAnsiTheme="minorHAnsi" w:cstheme="minorHAnsi"/>
          <w:lang w:val="en-AU"/>
        </w:rPr>
        <w:t>-</w:t>
      </w:r>
      <w:r w:rsidRPr="00D24885">
        <w:rPr>
          <w:rFonts w:asciiTheme="minorHAnsi" w:hAnsiTheme="minorHAnsi" w:cstheme="minorHAnsi"/>
          <w:lang w:val="en-AU"/>
        </w:rPr>
        <w:t>term timeframe.</w:t>
      </w:r>
    </w:p>
    <w:p w14:paraId="3C61AF86" w14:textId="1976FFA8" w:rsidR="00E96D78" w:rsidRPr="00D24885" w:rsidRDefault="00E96D78" w:rsidP="005369CE">
      <w:pPr>
        <w:rPr>
          <w:rFonts w:asciiTheme="minorHAnsi" w:hAnsiTheme="minorHAnsi" w:cstheme="minorHAnsi"/>
          <w:lang w:val="en-AU"/>
        </w:rPr>
      </w:pPr>
      <w:r w:rsidRPr="00D24885">
        <w:rPr>
          <w:rFonts w:asciiTheme="minorHAnsi" w:hAnsiTheme="minorHAnsi" w:cstheme="minorHAnsi"/>
          <w:b/>
          <w:bCs/>
          <w:lang w:val="en-AU"/>
        </w:rPr>
        <w:t>Recommendation:</w:t>
      </w:r>
      <w:r w:rsidRPr="00D24885">
        <w:rPr>
          <w:rFonts w:asciiTheme="minorHAnsi" w:hAnsiTheme="minorHAnsi" w:cstheme="minorHAnsi"/>
          <w:lang w:val="en-AU"/>
        </w:rPr>
        <w:t xml:space="preserve"> Review annually and increase Commonwealth Rent Assistance (CRA) so that it better meets the needs of all low-income renters and matches increased cost of living expenses.</w:t>
      </w:r>
    </w:p>
    <w:p w14:paraId="08B4CFFF" w14:textId="40790135" w:rsidR="00F03A05" w:rsidRPr="00F03A05" w:rsidRDefault="00F03A05" w:rsidP="005369CE">
      <w:pPr>
        <w:rPr>
          <w:rFonts w:asciiTheme="minorHAnsi" w:hAnsiTheme="minorHAnsi" w:cstheme="minorHAnsi"/>
          <w:lang w:val="en-AU"/>
        </w:rPr>
      </w:pPr>
      <w:r w:rsidRPr="00F03A05">
        <w:rPr>
          <w:rFonts w:asciiTheme="minorHAnsi" w:hAnsiTheme="minorHAnsi" w:cstheme="minorHAnsi"/>
          <w:b/>
          <w:bCs/>
          <w:lang w:val="en-AU"/>
        </w:rPr>
        <w:t>Recommendation:</w:t>
      </w:r>
      <w:r>
        <w:rPr>
          <w:rFonts w:asciiTheme="minorHAnsi" w:hAnsiTheme="minorHAnsi" w:cstheme="minorHAnsi"/>
          <w:lang w:val="en-AU"/>
        </w:rPr>
        <w:t xml:space="preserve"> </w:t>
      </w:r>
      <w:r w:rsidRPr="00F03A05">
        <w:rPr>
          <w:rFonts w:asciiTheme="minorHAnsi" w:hAnsiTheme="minorHAnsi" w:cstheme="minorHAnsi"/>
          <w:lang w:val="en-AU"/>
        </w:rPr>
        <w:t>Introduce nationally consistent rent regulation legislation that ties the national rent price index with the median wage index and limits rent increases to once every 12 months.</w:t>
      </w:r>
    </w:p>
    <w:p w14:paraId="085E26AD" w14:textId="0B0D949B" w:rsidR="002B3A20" w:rsidRPr="00D24885" w:rsidRDefault="002B3A20" w:rsidP="005369CE">
      <w:pPr>
        <w:rPr>
          <w:rFonts w:asciiTheme="minorHAnsi" w:hAnsiTheme="minorHAnsi" w:cstheme="minorHAnsi"/>
          <w:lang w:val="en-AU"/>
        </w:rPr>
      </w:pPr>
      <w:r w:rsidRPr="00D24885">
        <w:rPr>
          <w:rFonts w:asciiTheme="minorHAnsi" w:hAnsiTheme="minorHAnsi" w:cstheme="minorHAnsi"/>
          <w:b/>
          <w:bCs/>
          <w:lang w:val="en-AU"/>
        </w:rPr>
        <w:t>Recommendation:</w:t>
      </w:r>
      <w:r w:rsidRPr="00D24885">
        <w:rPr>
          <w:rFonts w:asciiTheme="minorHAnsi" w:hAnsiTheme="minorHAnsi" w:cstheme="minorHAnsi"/>
          <w:lang w:val="en-AU"/>
        </w:rPr>
        <w:t xml:space="preserve"> </w:t>
      </w:r>
      <w:r w:rsidR="007B0217">
        <w:rPr>
          <w:rFonts w:asciiTheme="minorHAnsi" w:hAnsiTheme="minorHAnsi" w:cstheme="minorHAnsi"/>
          <w:lang w:val="en-AU"/>
        </w:rPr>
        <w:t xml:space="preserve">That all states and territories commit to adopting the </w:t>
      </w:r>
      <w:r w:rsidR="002111CD" w:rsidRPr="002111CD">
        <w:rPr>
          <w:rFonts w:asciiTheme="minorHAnsi" w:hAnsiTheme="minorHAnsi" w:cstheme="minorHAnsi"/>
          <w:lang w:val="en-AU"/>
        </w:rPr>
        <w:t xml:space="preserve">minimum mandatory access standards </w:t>
      </w:r>
      <w:r w:rsidR="001116AB">
        <w:rPr>
          <w:rFonts w:asciiTheme="minorHAnsi" w:hAnsiTheme="minorHAnsi" w:cstheme="minorHAnsi"/>
          <w:lang w:val="en-AU"/>
        </w:rPr>
        <w:t>i</w:t>
      </w:r>
      <w:r w:rsidR="002111CD" w:rsidRPr="002111CD">
        <w:rPr>
          <w:rFonts w:asciiTheme="minorHAnsi" w:hAnsiTheme="minorHAnsi" w:cstheme="minorHAnsi"/>
          <w:lang w:val="en-AU"/>
        </w:rPr>
        <w:t>n the National Construction Code</w:t>
      </w:r>
      <w:r w:rsidR="002111CD">
        <w:rPr>
          <w:rFonts w:asciiTheme="minorHAnsi" w:hAnsiTheme="minorHAnsi" w:cstheme="minorHAnsi"/>
          <w:lang w:val="en-AU"/>
        </w:rPr>
        <w:t xml:space="preserve"> within a reasonable timeline.</w:t>
      </w:r>
    </w:p>
    <w:p w14:paraId="7599BEC6" w14:textId="4F100547" w:rsidR="0087732C" w:rsidRPr="001116AB" w:rsidRDefault="006B717E" w:rsidP="001116AB">
      <w:pPr>
        <w:pStyle w:val="NoSpacing"/>
        <w:spacing w:after="200" w:line="276" w:lineRule="auto"/>
        <w:jc w:val="center"/>
        <w:rPr>
          <w:rFonts w:asciiTheme="minorHAnsi" w:hAnsiTheme="minorHAnsi" w:cstheme="minorHAnsi"/>
          <w:sz w:val="24"/>
          <w:szCs w:val="24"/>
          <w:lang w:val="en-AU" w:eastAsia="zh-CN"/>
        </w:rPr>
      </w:pPr>
      <w:r w:rsidRPr="00D24885">
        <w:rPr>
          <w:noProof/>
          <w:lang w:val="en-AU"/>
        </w:rPr>
        <mc:AlternateContent>
          <mc:Choice Requires="wps">
            <w:drawing>
              <wp:anchor distT="0" distB="0" distL="114300" distR="114300" simplePos="0" relativeHeight="251671552" behindDoc="0" locked="0" layoutInCell="1" allowOverlap="1" wp14:anchorId="4ADFAFDE" wp14:editId="0FEB20C3">
                <wp:simplePos x="0" y="0"/>
                <wp:positionH relativeFrom="margin">
                  <wp:align>center</wp:align>
                </wp:positionH>
                <wp:positionV relativeFrom="paragraph">
                  <wp:posOffset>185420</wp:posOffset>
                </wp:positionV>
                <wp:extent cx="51587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158740" cy="0"/>
                        </a:xfrm>
                        <a:prstGeom prst="line">
                          <a:avLst/>
                        </a:prstGeom>
                        <a:ln w="1905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52B5D" id="Straight Connector 2" o:spid="_x0000_s1026" style="position:absolute;z-index:251671552;visibility:visible;mso-wrap-style:square;mso-wrap-distance-left:9pt;mso-wrap-distance-top:0;mso-wrap-distance-right:9pt;mso-wrap-distance-bottom:0;mso-position-horizontal:center;mso-position-horizontal-relative:margin;mso-position-vertical:absolute;mso-position-vertical-relative:text" from="0,14.6pt" to="406.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" strokecolor="#066" strokeweight="1.5pt">
                <v:stroke joinstyle="miter"/>
                <w10:wrap anchorx="margin"/>
              </v:line>
            </w:pict>
          </mc:Fallback>
        </mc:AlternateContent>
      </w:r>
    </w:p>
    <w:p w14:paraId="4B74B2E5" w14:textId="6A0F4930" w:rsidR="0087732C" w:rsidRPr="001116AB" w:rsidRDefault="00414CA8" w:rsidP="001116AB">
      <w:pPr>
        <w:pStyle w:val="Heading2"/>
        <w:spacing w:before="0" w:after="200"/>
      </w:pPr>
      <w:r w:rsidRPr="00D24885">
        <w:lastRenderedPageBreak/>
        <w:t>Income support</w:t>
      </w:r>
    </w:p>
    <w:p w14:paraId="4FF3CF25" w14:textId="33B1E600" w:rsidR="00713D5A" w:rsidRPr="00D24885" w:rsidRDefault="006008EB" w:rsidP="005369CE">
      <w:pPr>
        <w:rPr>
          <w:rFonts w:asciiTheme="minorHAnsi" w:hAnsiTheme="minorHAnsi" w:cstheme="minorHAnsi"/>
          <w:lang w:val="en-AU"/>
        </w:rPr>
      </w:pPr>
      <w:r w:rsidRPr="00D24885">
        <w:rPr>
          <w:rFonts w:asciiTheme="minorHAnsi" w:hAnsiTheme="minorHAnsi" w:cstheme="minorHAnsi"/>
          <w:lang w:val="en-AU"/>
        </w:rPr>
        <w:t>Income support payments play an integral role in ensuring income security and enabling realisation of the rights to social security and social protection. They serve as a critical mechanism through which poverty can be directly alleviated, allowing the promotion of social and economic wellbeing, inclusion, and participation. This is especially true for people with disability, who face greater barriers to meaningful and accessible employment and incur additional disability-related expenses.</w:t>
      </w:r>
    </w:p>
    <w:p w14:paraId="37F27AAA" w14:textId="1DD96377" w:rsidR="00713D5A" w:rsidRPr="00D24885" w:rsidRDefault="00713D5A" w:rsidP="005369CE">
      <w:pPr>
        <w:rPr>
          <w:rFonts w:asciiTheme="minorHAnsi" w:hAnsiTheme="minorHAnsi" w:cstheme="minorHAnsi"/>
          <w:lang w:val="en-AU"/>
        </w:rPr>
      </w:pPr>
      <w:r w:rsidRPr="00D24885">
        <w:rPr>
          <w:rFonts w:asciiTheme="minorHAnsi" w:hAnsiTheme="minorHAnsi" w:cstheme="minorHAnsi"/>
          <w:b/>
          <w:bCs/>
          <w:lang w:val="en-AU"/>
        </w:rPr>
        <w:t>Data relating to people with disability and income support</w:t>
      </w:r>
    </w:p>
    <w:p w14:paraId="6C588E38" w14:textId="77777777" w:rsidR="00713D5A" w:rsidRPr="00D24885" w:rsidRDefault="00713D5A" w:rsidP="005369CE">
      <w:pPr>
        <w:pStyle w:val="ListParagraph"/>
        <w:numPr>
          <w:ilvl w:val="0"/>
          <w:numId w:val="30"/>
        </w:numPr>
        <w:spacing w:before="0" w:after="200"/>
        <w:rPr>
          <w:rFonts w:asciiTheme="minorHAnsi" w:hAnsiTheme="minorHAnsi" w:cstheme="minorHAnsi"/>
          <w:lang w:val="en-AU"/>
        </w:rPr>
      </w:pPr>
      <w:r w:rsidRPr="00D24885">
        <w:rPr>
          <w:rFonts w:asciiTheme="minorHAnsi" w:hAnsiTheme="minorHAnsi" w:cstheme="minorHAnsi"/>
          <w:lang w:val="en-AU"/>
        </w:rPr>
        <w:t>One in five (21%) of all income support payment recipients aged 16-64 received the DSP at June 2020.</w:t>
      </w:r>
      <w:r w:rsidRPr="00D24885">
        <w:rPr>
          <w:rStyle w:val="FootnoteReference"/>
          <w:rFonts w:asciiTheme="minorHAnsi" w:hAnsiTheme="minorHAnsi" w:cstheme="minorHAnsi"/>
          <w:lang w:val="en-AU"/>
        </w:rPr>
        <w:footnoteReference w:id="16"/>
      </w:r>
    </w:p>
    <w:p w14:paraId="30AA996C" w14:textId="77777777" w:rsidR="0087732C" w:rsidRDefault="0087732C" w:rsidP="005369CE">
      <w:pPr>
        <w:pStyle w:val="ListParagraph"/>
        <w:numPr>
          <w:ilvl w:val="0"/>
          <w:numId w:val="0"/>
        </w:numPr>
        <w:spacing w:before="0" w:after="200"/>
        <w:ind w:left="720"/>
        <w:rPr>
          <w:rFonts w:asciiTheme="minorHAnsi" w:hAnsiTheme="minorHAnsi" w:cstheme="minorHAnsi"/>
          <w:lang w:val="en-AU"/>
        </w:rPr>
      </w:pPr>
    </w:p>
    <w:p w14:paraId="1C54D89B" w14:textId="56FFDC13" w:rsidR="00713D5A" w:rsidRPr="00D24885" w:rsidRDefault="00713D5A" w:rsidP="005369CE">
      <w:pPr>
        <w:pStyle w:val="ListParagraph"/>
        <w:numPr>
          <w:ilvl w:val="0"/>
          <w:numId w:val="30"/>
        </w:numPr>
        <w:spacing w:before="0" w:after="200"/>
        <w:rPr>
          <w:rFonts w:asciiTheme="minorHAnsi" w:hAnsiTheme="minorHAnsi" w:cstheme="minorHAnsi"/>
          <w:lang w:val="en-AU"/>
        </w:rPr>
      </w:pPr>
      <w:r w:rsidRPr="00D24885">
        <w:rPr>
          <w:rFonts w:asciiTheme="minorHAnsi" w:hAnsiTheme="minorHAnsi" w:cstheme="minorHAnsi"/>
          <w:lang w:val="en-AU"/>
        </w:rPr>
        <w:t>Recipients of the DSP tend to remain on the DSP for long periods of time, with very few moving on to other payments or exiting the income support system entirely. At June 2020, 81% of recipients aged 16–64 had been on the DSP for at least 5 years, and 56% for 10 or more years.</w:t>
      </w:r>
      <w:r w:rsidRPr="00D24885">
        <w:rPr>
          <w:rStyle w:val="FootnoteReference"/>
          <w:rFonts w:asciiTheme="minorHAnsi" w:hAnsiTheme="minorHAnsi" w:cstheme="minorHAnsi"/>
          <w:lang w:val="en-AU"/>
        </w:rPr>
        <w:footnoteReference w:id="17"/>
      </w:r>
      <w:r w:rsidRPr="00D24885">
        <w:rPr>
          <w:rFonts w:asciiTheme="minorHAnsi" w:hAnsiTheme="minorHAnsi" w:cstheme="minorHAnsi"/>
          <w:lang w:val="en-AU"/>
        </w:rPr>
        <w:t xml:space="preserve"> This reflects the reality of many people living with disability, for whom employment may not be feasible and DSP is the primary source of income.</w:t>
      </w:r>
    </w:p>
    <w:p w14:paraId="133817D2" w14:textId="77777777" w:rsidR="0087732C" w:rsidRDefault="0087732C" w:rsidP="005369CE">
      <w:pPr>
        <w:pStyle w:val="ListParagraph"/>
        <w:numPr>
          <w:ilvl w:val="0"/>
          <w:numId w:val="0"/>
        </w:numPr>
        <w:spacing w:before="0" w:after="200"/>
        <w:ind w:left="720"/>
        <w:rPr>
          <w:rFonts w:asciiTheme="minorHAnsi" w:hAnsiTheme="minorHAnsi" w:cstheme="minorHAnsi"/>
          <w:lang w:val="en-AU"/>
        </w:rPr>
      </w:pPr>
    </w:p>
    <w:p w14:paraId="7E067943" w14:textId="1BCC99E1" w:rsidR="00713D5A" w:rsidRPr="00D24885" w:rsidRDefault="00713D5A" w:rsidP="005369CE">
      <w:pPr>
        <w:pStyle w:val="ListParagraph"/>
        <w:numPr>
          <w:ilvl w:val="0"/>
          <w:numId w:val="30"/>
        </w:numPr>
        <w:spacing w:before="0" w:after="200"/>
        <w:rPr>
          <w:rFonts w:asciiTheme="minorHAnsi" w:hAnsiTheme="minorHAnsi" w:cstheme="minorHAnsi"/>
          <w:lang w:val="en-AU"/>
        </w:rPr>
      </w:pPr>
      <w:r w:rsidRPr="00D24885">
        <w:rPr>
          <w:rFonts w:asciiTheme="minorHAnsi" w:hAnsiTheme="minorHAnsi" w:cstheme="minorHAnsi"/>
          <w:lang w:val="en-AU"/>
        </w:rPr>
        <w:t>Due to the tightening of eligibility criteria, receipt of the DSP has declined over time. Successful claims for DSP decreased from 64% in 2010 to a low of 25% in 2016. Since then, successful claims have slowly increased, but remain below 50%.</w:t>
      </w:r>
      <w:r w:rsidRPr="00D24885">
        <w:rPr>
          <w:rStyle w:val="FootnoteReference"/>
          <w:rFonts w:asciiTheme="minorHAnsi" w:hAnsiTheme="minorHAnsi" w:cstheme="minorHAnsi"/>
          <w:lang w:val="en-AU"/>
        </w:rPr>
        <w:footnoteReference w:id="18"/>
      </w:r>
    </w:p>
    <w:p w14:paraId="31A29E9E" w14:textId="77777777" w:rsidR="0087732C" w:rsidRDefault="0087732C" w:rsidP="005369CE">
      <w:pPr>
        <w:pStyle w:val="ListParagraph"/>
        <w:numPr>
          <w:ilvl w:val="0"/>
          <w:numId w:val="0"/>
        </w:numPr>
        <w:spacing w:before="0" w:after="200"/>
        <w:ind w:left="720"/>
        <w:rPr>
          <w:rFonts w:asciiTheme="minorHAnsi" w:hAnsiTheme="minorHAnsi" w:cstheme="minorHAnsi"/>
          <w:lang w:val="en-AU"/>
        </w:rPr>
      </w:pPr>
    </w:p>
    <w:p w14:paraId="59670011" w14:textId="69F686EA" w:rsidR="00713D5A" w:rsidRPr="00D24885" w:rsidRDefault="00713D5A" w:rsidP="005369CE">
      <w:pPr>
        <w:pStyle w:val="ListParagraph"/>
        <w:numPr>
          <w:ilvl w:val="0"/>
          <w:numId w:val="30"/>
        </w:numPr>
        <w:spacing w:before="0" w:after="200"/>
        <w:rPr>
          <w:rFonts w:asciiTheme="minorHAnsi" w:hAnsiTheme="minorHAnsi" w:cstheme="minorHAnsi"/>
          <w:lang w:val="en-AU"/>
        </w:rPr>
      </w:pPr>
      <w:r w:rsidRPr="00D24885">
        <w:rPr>
          <w:rFonts w:asciiTheme="minorHAnsi" w:hAnsiTheme="minorHAnsi" w:cstheme="minorHAnsi"/>
          <w:lang w:val="en-AU"/>
        </w:rPr>
        <w:t>Declining rates of DSP receipt has led to an increase in people with disability claiming unemployment benefits, which is reflected in the number of people receiving JSA who have been assessed as having a partial capacity to work (PCW). The number of JSA recipients with PCW was 375,000 in 2021, increased from 124,000 in 2013.</w:t>
      </w:r>
      <w:r w:rsidRPr="00D24885">
        <w:rPr>
          <w:rStyle w:val="FootnoteReference"/>
          <w:rFonts w:asciiTheme="minorHAnsi" w:hAnsiTheme="minorHAnsi" w:cstheme="minorHAnsi"/>
          <w:lang w:val="en-AU"/>
        </w:rPr>
        <w:footnoteReference w:id="19"/>
      </w:r>
      <w:r w:rsidRPr="00D24885">
        <w:rPr>
          <w:rFonts w:asciiTheme="minorHAnsi" w:hAnsiTheme="minorHAnsi" w:cstheme="minorHAnsi"/>
          <w:lang w:val="en-AU"/>
        </w:rPr>
        <w:t xml:space="preserve"> Changes to DSP eligibility criteria are the driving force this shift.</w:t>
      </w:r>
    </w:p>
    <w:p w14:paraId="0C6D0C70" w14:textId="77777777" w:rsidR="0087732C" w:rsidRPr="0087732C" w:rsidRDefault="00713D5A" w:rsidP="005369CE">
      <w:pPr>
        <w:pStyle w:val="ListParagraph"/>
        <w:numPr>
          <w:ilvl w:val="0"/>
          <w:numId w:val="0"/>
        </w:numPr>
        <w:spacing w:before="0" w:after="200"/>
        <w:ind w:left="720"/>
        <w:rPr>
          <w:rFonts w:asciiTheme="minorHAnsi" w:hAnsiTheme="minorHAnsi" w:cstheme="minorHAnsi"/>
          <w:sz w:val="6"/>
          <w:szCs w:val="6"/>
          <w:lang w:val="en-AU"/>
        </w:rPr>
      </w:pPr>
      <w:r w:rsidRPr="0087732C">
        <w:rPr>
          <w:rFonts w:asciiTheme="minorHAnsi" w:hAnsiTheme="minorHAnsi" w:cstheme="minorHAnsi"/>
          <w:lang w:val="en-AU"/>
        </w:rPr>
        <w:t>While the DSP rate is marginally higher than that of JSA, both are below the poverty line.</w:t>
      </w:r>
      <w:r w:rsidRPr="00D24885">
        <w:rPr>
          <w:rStyle w:val="FootnoteReference"/>
          <w:rFonts w:asciiTheme="minorHAnsi" w:hAnsiTheme="minorHAnsi" w:cstheme="minorHAnsi"/>
          <w:lang w:val="en-AU"/>
        </w:rPr>
        <w:footnoteReference w:id="20"/>
      </w:r>
    </w:p>
    <w:p w14:paraId="36605054" w14:textId="54E27CB3" w:rsidR="001116AB" w:rsidRDefault="00AD3450" w:rsidP="005369CE">
      <w:pPr>
        <w:rPr>
          <w:rFonts w:asciiTheme="minorHAnsi" w:hAnsiTheme="minorHAnsi" w:cstheme="minorHAnsi"/>
          <w:lang w:val="en-AU"/>
        </w:rPr>
      </w:pPr>
      <w:r w:rsidRPr="0087732C">
        <w:rPr>
          <w:rFonts w:asciiTheme="minorHAnsi" w:hAnsiTheme="minorHAnsi" w:cstheme="minorHAnsi"/>
          <w:lang w:val="en-AU"/>
        </w:rPr>
        <w:t>As AFDO has stated in previous submissions, t</w:t>
      </w:r>
      <w:r w:rsidR="00AC782A" w:rsidRPr="0087732C">
        <w:rPr>
          <w:rFonts w:asciiTheme="minorHAnsi" w:hAnsiTheme="minorHAnsi" w:cstheme="minorHAnsi"/>
          <w:lang w:val="en-AU"/>
        </w:rPr>
        <w:t xml:space="preserve">he government </w:t>
      </w:r>
      <w:r w:rsidR="00F335E6" w:rsidRPr="0087732C">
        <w:rPr>
          <w:rFonts w:asciiTheme="minorHAnsi" w:hAnsiTheme="minorHAnsi" w:cstheme="minorHAnsi"/>
          <w:lang w:val="en-AU"/>
        </w:rPr>
        <w:t>should leverage income support payments</w:t>
      </w:r>
      <w:r w:rsidRPr="0087732C">
        <w:rPr>
          <w:rFonts w:asciiTheme="minorHAnsi" w:hAnsiTheme="minorHAnsi" w:cstheme="minorHAnsi"/>
          <w:lang w:val="en-AU"/>
        </w:rPr>
        <w:t xml:space="preserve"> – in particular, the Disability Support Pension and </w:t>
      </w:r>
      <w:proofErr w:type="spellStart"/>
      <w:r w:rsidRPr="0087732C">
        <w:rPr>
          <w:rFonts w:asciiTheme="minorHAnsi" w:hAnsiTheme="minorHAnsi" w:cstheme="minorHAnsi"/>
          <w:lang w:val="en-AU"/>
        </w:rPr>
        <w:t>JobSeeker</w:t>
      </w:r>
      <w:proofErr w:type="spellEnd"/>
      <w:r w:rsidRPr="0087732C">
        <w:rPr>
          <w:rFonts w:asciiTheme="minorHAnsi" w:hAnsiTheme="minorHAnsi" w:cstheme="minorHAnsi"/>
          <w:lang w:val="en-AU"/>
        </w:rPr>
        <w:t xml:space="preserve"> Allowance – </w:t>
      </w:r>
      <w:r w:rsidR="00F335E6" w:rsidRPr="0087732C">
        <w:rPr>
          <w:rFonts w:asciiTheme="minorHAnsi" w:hAnsiTheme="minorHAnsi" w:cstheme="minorHAnsi"/>
          <w:lang w:val="en-AU"/>
        </w:rPr>
        <w:t xml:space="preserve">as an immediate means of reducing the burden of </w:t>
      </w:r>
      <w:r w:rsidR="008D69CD" w:rsidRPr="0087732C">
        <w:rPr>
          <w:rFonts w:asciiTheme="minorHAnsi" w:hAnsiTheme="minorHAnsi" w:cstheme="minorHAnsi"/>
          <w:lang w:val="en-AU"/>
        </w:rPr>
        <w:t>the increased cost of living</w:t>
      </w:r>
      <w:r w:rsidR="006E3269" w:rsidRPr="0087732C">
        <w:rPr>
          <w:rFonts w:asciiTheme="minorHAnsi" w:hAnsiTheme="minorHAnsi" w:cstheme="minorHAnsi"/>
          <w:lang w:val="en-AU"/>
        </w:rPr>
        <w:t xml:space="preserve"> and alleviating poverty.</w:t>
      </w:r>
      <w:r w:rsidR="006E3269" w:rsidRPr="0087732C">
        <w:rPr>
          <w:rFonts w:asciiTheme="minorHAnsi" w:hAnsiTheme="minorHAnsi" w:cstheme="minorHAnsi"/>
          <w:lang w:val="en-AU"/>
        </w:rPr>
        <w:br/>
      </w:r>
    </w:p>
    <w:p w14:paraId="0FD6B99E" w14:textId="77777777" w:rsidR="001116AB" w:rsidRDefault="001116AB" w:rsidP="005369CE">
      <w:pPr>
        <w:rPr>
          <w:rFonts w:asciiTheme="minorHAnsi" w:hAnsiTheme="minorHAnsi" w:cstheme="minorHAnsi"/>
          <w:lang w:val="en-AU"/>
        </w:rPr>
      </w:pPr>
    </w:p>
    <w:p w14:paraId="26A4BCAE" w14:textId="66E17E79" w:rsidR="005F2D69" w:rsidRPr="00D24885" w:rsidRDefault="001116AB" w:rsidP="005369CE">
      <w:pPr>
        <w:rPr>
          <w:rFonts w:asciiTheme="minorHAnsi" w:hAnsiTheme="minorHAnsi" w:cstheme="minorHAnsi"/>
          <w:lang w:val="en-AU"/>
        </w:rPr>
      </w:pPr>
      <w:r w:rsidRPr="00D24885">
        <w:rPr>
          <w:noProof/>
          <w:lang w:val="en-AU"/>
        </w:rPr>
        <mc:AlternateContent>
          <mc:Choice Requires="wps">
            <w:drawing>
              <wp:anchor distT="0" distB="0" distL="114300" distR="114300" simplePos="0" relativeHeight="251673600" behindDoc="0" locked="0" layoutInCell="1" allowOverlap="1" wp14:anchorId="071A5529" wp14:editId="73BDD6B3">
                <wp:simplePos x="0" y="0"/>
                <wp:positionH relativeFrom="margin">
                  <wp:align>center</wp:align>
                </wp:positionH>
                <wp:positionV relativeFrom="paragraph">
                  <wp:posOffset>-361315</wp:posOffset>
                </wp:positionV>
                <wp:extent cx="51587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158740" cy="0"/>
                        </a:xfrm>
                        <a:prstGeom prst="line">
                          <a:avLst/>
                        </a:prstGeom>
                        <a:ln w="1905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F535B" id="Straight Connector 5" o:spid="_x0000_s1026" style="position:absolute;z-index:251673600;visibility:visible;mso-wrap-style:square;mso-wrap-distance-left:9pt;mso-wrap-distance-top:0;mso-wrap-distance-right:9pt;mso-wrap-distance-bottom:0;mso-position-horizontal:center;mso-position-horizontal-relative:margin;mso-position-vertical:absolute;mso-position-vertical-relative:text" from="0,-28.45pt" to="406.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" strokecolor="#066" strokeweight="1.5pt">
                <v:stroke joinstyle="miter"/>
                <w10:wrap anchorx="margin"/>
              </v:line>
            </w:pict>
          </mc:Fallback>
        </mc:AlternateContent>
      </w:r>
      <w:r w:rsidR="005F2D69" w:rsidRPr="00D24885">
        <w:rPr>
          <w:rFonts w:asciiTheme="minorHAnsi" w:hAnsiTheme="minorHAnsi" w:cstheme="minorHAnsi"/>
          <w:b/>
          <w:bCs/>
          <w:lang w:val="en-AU"/>
        </w:rPr>
        <w:t>Recommendation:</w:t>
      </w:r>
      <w:r w:rsidR="005F2D69" w:rsidRPr="00D24885">
        <w:rPr>
          <w:rFonts w:asciiTheme="minorHAnsi" w:hAnsiTheme="minorHAnsi" w:cstheme="minorHAnsi"/>
          <w:lang w:val="en-AU"/>
        </w:rPr>
        <w:t xml:space="preserve"> </w:t>
      </w:r>
      <w:r w:rsidR="00477F4C" w:rsidRPr="00D24885">
        <w:rPr>
          <w:rFonts w:asciiTheme="minorHAnsi" w:hAnsiTheme="minorHAnsi" w:cstheme="minorHAnsi"/>
          <w:lang w:val="en-AU"/>
        </w:rPr>
        <w:t>Establish an independent body to review and permanently increase all social security payments to above the recognised poverty line and indexed in line with wages, ensuring they are sufficient to enable all people to live with dignity and to fully participate in community, social, and economic life.</w:t>
      </w:r>
    </w:p>
    <w:p w14:paraId="0E48679B" w14:textId="6CDCBB55" w:rsidR="00D71CA7" w:rsidRPr="00D24885" w:rsidRDefault="005F2D69" w:rsidP="005369CE">
      <w:pPr>
        <w:rPr>
          <w:rFonts w:asciiTheme="minorHAnsi" w:hAnsiTheme="minorHAnsi" w:cstheme="minorHAnsi"/>
          <w:lang w:val="en-AU"/>
        </w:rPr>
      </w:pPr>
      <w:r w:rsidRPr="00D24885">
        <w:rPr>
          <w:rFonts w:asciiTheme="minorHAnsi" w:hAnsiTheme="minorHAnsi" w:cstheme="minorHAnsi"/>
          <w:b/>
          <w:bCs/>
          <w:lang w:val="en-AU"/>
        </w:rPr>
        <w:t>Recommendation:</w:t>
      </w:r>
      <w:r w:rsidRPr="00D24885">
        <w:rPr>
          <w:rFonts w:asciiTheme="minorHAnsi" w:hAnsiTheme="minorHAnsi" w:cstheme="minorHAnsi"/>
          <w:lang w:val="en-AU"/>
        </w:rPr>
        <w:t xml:space="preserve"> </w:t>
      </w:r>
      <w:r w:rsidR="00D71CA7" w:rsidRPr="00D24885">
        <w:rPr>
          <w:rFonts w:asciiTheme="minorHAnsi" w:hAnsiTheme="minorHAnsi" w:cstheme="minorHAnsi"/>
          <w:lang w:val="en-AU"/>
        </w:rPr>
        <w:t xml:space="preserve">Increase income support payments </w:t>
      </w:r>
      <w:r w:rsidR="009D25F0" w:rsidRPr="00D24885">
        <w:rPr>
          <w:rFonts w:asciiTheme="minorHAnsi" w:hAnsiTheme="minorHAnsi" w:cstheme="minorHAnsi"/>
          <w:lang w:val="en-AU"/>
        </w:rPr>
        <w:t xml:space="preserve">– in particular, the Disability Support Pension and </w:t>
      </w:r>
      <w:proofErr w:type="spellStart"/>
      <w:r w:rsidR="009D25F0" w:rsidRPr="00D24885">
        <w:rPr>
          <w:rFonts w:asciiTheme="minorHAnsi" w:hAnsiTheme="minorHAnsi" w:cstheme="minorHAnsi"/>
          <w:lang w:val="en-AU"/>
        </w:rPr>
        <w:t>JobSeeker</w:t>
      </w:r>
      <w:proofErr w:type="spellEnd"/>
      <w:r w:rsidR="009D25F0" w:rsidRPr="00D24885">
        <w:rPr>
          <w:rFonts w:asciiTheme="minorHAnsi" w:hAnsiTheme="minorHAnsi" w:cstheme="minorHAnsi"/>
          <w:lang w:val="en-AU"/>
        </w:rPr>
        <w:t xml:space="preserve"> Allowance – </w:t>
      </w:r>
      <w:r w:rsidR="00D71CA7" w:rsidRPr="00D24885">
        <w:rPr>
          <w:rFonts w:asciiTheme="minorHAnsi" w:hAnsiTheme="minorHAnsi" w:cstheme="minorHAnsi"/>
          <w:lang w:val="en-AU"/>
        </w:rPr>
        <w:t>to bring the standard of living of households with members with disability in line with the standard of living of similar households without disability.</w:t>
      </w:r>
    </w:p>
    <w:p w14:paraId="08D8A3CB" w14:textId="058A7788" w:rsidR="00396A5D" w:rsidRPr="00D24885" w:rsidRDefault="005F2D69" w:rsidP="005369CE">
      <w:pPr>
        <w:pStyle w:val="NoSpacing"/>
        <w:spacing w:after="200" w:line="276" w:lineRule="auto"/>
        <w:jc w:val="center"/>
        <w:rPr>
          <w:rFonts w:asciiTheme="minorHAnsi" w:hAnsiTheme="minorHAnsi" w:cstheme="minorHAnsi"/>
          <w:sz w:val="24"/>
          <w:szCs w:val="24"/>
          <w:lang w:val="en-AU" w:eastAsia="zh-CN"/>
        </w:rPr>
      </w:pPr>
      <w:r w:rsidRPr="00D24885">
        <w:rPr>
          <w:noProof/>
          <w:lang w:val="en-AU"/>
        </w:rPr>
        <mc:AlternateContent>
          <mc:Choice Requires="wps">
            <w:drawing>
              <wp:anchor distT="0" distB="0" distL="114300" distR="114300" simplePos="0" relativeHeight="251674624" behindDoc="0" locked="0" layoutInCell="1" allowOverlap="1" wp14:anchorId="2D517919" wp14:editId="299F7EF0">
                <wp:simplePos x="0" y="0"/>
                <wp:positionH relativeFrom="margin">
                  <wp:align>center</wp:align>
                </wp:positionH>
                <wp:positionV relativeFrom="paragraph">
                  <wp:posOffset>185420</wp:posOffset>
                </wp:positionV>
                <wp:extent cx="515874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158740" cy="0"/>
                        </a:xfrm>
                        <a:prstGeom prst="line">
                          <a:avLst/>
                        </a:prstGeom>
                        <a:ln w="19050">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4500C" id="Straight Connector 6" o:spid="_x0000_s1026" style="position:absolute;z-index:251674624;visibility:visible;mso-wrap-style:square;mso-wrap-distance-left:9pt;mso-wrap-distance-top:0;mso-wrap-distance-right:9pt;mso-wrap-distance-bottom:0;mso-position-horizontal:center;mso-position-horizontal-relative:margin;mso-position-vertical:absolute;mso-position-vertical-relative:text" from="0,14.6pt" to="406.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" strokecolor="#066" strokeweight="1.5pt">
                <v:stroke joinstyle="miter"/>
                <w10:wrap anchorx="margin"/>
              </v:line>
            </w:pict>
          </mc:Fallback>
        </mc:AlternateContent>
      </w:r>
    </w:p>
    <w:p w14:paraId="585B441A" w14:textId="77777777" w:rsidR="006F6B9F" w:rsidRPr="00D24885" w:rsidRDefault="006F6B9F" w:rsidP="0087732C">
      <w:pPr>
        <w:pStyle w:val="HeadingNew"/>
      </w:pPr>
      <w:r w:rsidRPr="00D24885">
        <w:lastRenderedPageBreak/>
        <w:t>The right to social security and social protection</w:t>
      </w:r>
    </w:p>
    <w:p w14:paraId="4050802C" w14:textId="77777777" w:rsidR="006F6B9F" w:rsidRPr="00D24885" w:rsidRDefault="006F6B9F" w:rsidP="006F6B9F">
      <w:pPr>
        <w:rPr>
          <w:rFonts w:asciiTheme="minorHAnsi" w:hAnsiTheme="minorHAnsi" w:cstheme="minorHAnsi"/>
          <w:lang w:val="en-AU"/>
        </w:rPr>
      </w:pPr>
      <w:r w:rsidRPr="00D24885">
        <w:rPr>
          <w:rFonts w:asciiTheme="minorHAnsi" w:hAnsiTheme="minorHAnsi" w:cstheme="minorHAnsi"/>
          <w:lang w:val="en-AU"/>
        </w:rPr>
        <w:t xml:space="preserve">Australia is a signatory to both </w:t>
      </w:r>
      <w:r w:rsidRPr="00D24885">
        <w:rPr>
          <w:rFonts w:asciiTheme="minorHAnsi" w:hAnsiTheme="minorHAnsi" w:cstheme="minorHAnsi"/>
          <w:i/>
          <w:iCs/>
          <w:lang w:val="en-AU"/>
        </w:rPr>
        <w:t>the International Covenant on Economic, Social and Cultural Rights (ICESCR)</w:t>
      </w:r>
      <w:r w:rsidRPr="00D24885">
        <w:rPr>
          <w:rFonts w:asciiTheme="minorHAnsi" w:hAnsiTheme="minorHAnsi" w:cstheme="minorHAnsi"/>
          <w:lang w:val="en-AU"/>
        </w:rPr>
        <w:t xml:space="preserve"> and the </w:t>
      </w:r>
      <w:r w:rsidRPr="00D24885">
        <w:rPr>
          <w:rFonts w:asciiTheme="minorHAnsi" w:hAnsiTheme="minorHAnsi" w:cstheme="minorHAnsi"/>
          <w:i/>
          <w:iCs/>
          <w:lang w:val="en-AU"/>
        </w:rPr>
        <w:t>Convention on the Rights of Persons with Disabilities (CRPD)</w:t>
      </w:r>
      <w:r w:rsidRPr="00D24885">
        <w:rPr>
          <w:rFonts w:asciiTheme="minorHAnsi" w:hAnsiTheme="minorHAnsi" w:cstheme="minorHAnsi"/>
          <w:lang w:val="en-AU"/>
        </w:rPr>
        <w:t>. Under articles 9 and 28 of these instruments respectively, the Australian government is obliged to ensure that all people with disability have access to social security, social protection, and an adequate standard of living.</w:t>
      </w:r>
      <w:r w:rsidRPr="00D24885">
        <w:rPr>
          <w:rStyle w:val="FootnoteReference"/>
          <w:rFonts w:asciiTheme="minorHAnsi" w:hAnsiTheme="minorHAnsi" w:cstheme="minorHAnsi"/>
          <w:lang w:val="en-AU"/>
        </w:rPr>
        <w:footnoteReference w:id="21"/>
      </w:r>
    </w:p>
    <w:p w14:paraId="6B51F2F2" w14:textId="77777777" w:rsidR="006F6B9F" w:rsidRPr="00D24885" w:rsidRDefault="006F6B9F" w:rsidP="006F6B9F">
      <w:pPr>
        <w:rPr>
          <w:rFonts w:asciiTheme="minorHAnsi" w:hAnsiTheme="minorHAnsi" w:cstheme="minorHAnsi"/>
          <w:lang w:val="en-AU"/>
        </w:rPr>
      </w:pPr>
      <w:r w:rsidRPr="00D24885">
        <w:rPr>
          <w:rFonts w:asciiTheme="minorHAnsi" w:hAnsiTheme="minorHAnsi" w:cstheme="minorHAnsi"/>
          <w:lang w:val="en-AU"/>
        </w:rPr>
        <w:t>Per Article 28 of the CRPD, state parties to the Convention must “take appropriate steps to safeguard and promote the realization” of these rights.</w:t>
      </w:r>
      <w:r w:rsidRPr="00D24885">
        <w:rPr>
          <w:rStyle w:val="FootnoteReference"/>
          <w:rFonts w:asciiTheme="minorHAnsi" w:hAnsiTheme="minorHAnsi" w:cstheme="minorHAnsi"/>
          <w:lang w:val="en-AU"/>
        </w:rPr>
        <w:footnoteReference w:id="22"/>
      </w:r>
      <w:r w:rsidRPr="00D24885">
        <w:rPr>
          <w:rFonts w:asciiTheme="minorHAnsi" w:hAnsiTheme="minorHAnsi" w:cstheme="minorHAnsi"/>
          <w:lang w:val="en-AU"/>
        </w:rPr>
        <w:t xml:space="preserve"> This imposes a positive obligation upon states to provide the necessary supports and services to people with disability. Notably, countries must “ensure access by persons with disability…to social protection programs” and ensure people with disability who are living in poverty have access to “assistance from the State with disability-related expenses.”</w:t>
      </w:r>
      <w:r w:rsidRPr="00D24885">
        <w:rPr>
          <w:rStyle w:val="FootnoteReference"/>
          <w:rFonts w:asciiTheme="minorHAnsi" w:hAnsiTheme="minorHAnsi" w:cstheme="minorHAnsi"/>
          <w:lang w:val="en-AU"/>
        </w:rPr>
        <w:footnoteReference w:id="23"/>
      </w:r>
      <w:r w:rsidRPr="00D24885">
        <w:rPr>
          <w:rFonts w:asciiTheme="minorHAnsi" w:hAnsiTheme="minorHAnsi" w:cstheme="minorHAnsi"/>
          <w:lang w:val="en-AU"/>
        </w:rPr>
        <w:t xml:space="preserve"> </w:t>
      </w:r>
    </w:p>
    <w:p w14:paraId="41E21B62" w14:textId="77777777" w:rsidR="006F6B9F" w:rsidRPr="00D24885" w:rsidRDefault="006F6B9F" w:rsidP="006F6B9F">
      <w:pPr>
        <w:rPr>
          <w:rFonts w:asciiTheme="minorHAnsi" w:hAnsiTheme="minorHAnsi" w:cstheme="minorHAnsi"/>
          <w:lang w:val="en-AU"/>
        </w:rPr>
      </w:pPr>
      <w:r w:rsidRPr="00D24885">
        <w:rPr>
          <w:rFonts w:asciiTheme="minorHAnsi" w:hAnsiTheme="minorHAnsi" w:cstheme="minorHAnsi"/>
          <w:lang w:val="en-AU"/>
        </w:rPr>
        <w:t>The term ‘social protection’ refers to:</w:t>
      </w:r>
    </w:p>
    <w:p w14:paraId="1A4166FB" w14:textId="77777777" w:rsidR="006F6B9F" w:rsidRPr="00D24885" w:rsidRDefault="006F6B9F" w:rsidP="006F6B9F">
      <w:pPr>
        <w:ind w:left="720"/>
        <w:rPr>
          <w:rFonts w:asciiTheme="minorHAnsi" w:hAnsiTheme="minorHAnsi" w:cstheme="minorHAnsi"/>
          <w:i/>
          <w:iCs/>
          <w:lang w:val="en-AU"/>
        </w:rPr>
      </w:pPr>
      <w:r w:rsidRPr="00D24885">
        <w:rPr>
          <w:rFonts w:asciiTheme="minorHAnsi" w:hAnsiTheme="minorHAnsi" w:cstheme="minorHAnsi"/>
          <w:i/>
          <w:iCs/>
          <w:lang w:val="en-AU"/>
        </w:rPr>
        <w:t xml:space="preserve">… a variety of public and private interventions aimed at securing the well-being of a person in the event of social risk and need, such as (a) lack of work-related income, (b) unaffordable access to health care and (c) insufficient family and child support… social protection is understood broadly to cover a variety of interventions </w:t>
      </w:r>
      <w:r w:rsidRPr="00D24885">
        <w:rPr>
          <w:rFonts w:asciiTheme="minorHAnsi" w:hAnsiTheme="minorHAnsi" w:cstheme="minorHAnsi"/>
          <w:b/>
          <w:bCs/>
          <w:i/>
          <w:iCs/>
          <w:lang w:val="en-AU"/>
        </w:rPr>
        <w:t>designed to guarantee basic income security</w:t>
      </w:r>
      <w:r w:rsidRPr="00D24885">
        <w:rPr>
          <w:rFonts w:asciiTheme="minorHAnsi" w:hAnsiTheme="minorHAnsi" w:cstheme="minorHAnsi"/>
          <w:i/>
          <w:iCs/>
          <w:lang w:val="en-AU"/>
        </w:rPr>
        <w:t xml:space="preserve"> and access to essential social services, with the ultimate goal of achieving social inclusion and social citizenship.</w:t>
      </w:r>
      <w:r w:rsidRPr="00D24885">
        <w:rPr>
          <w:rStyle w:val="FootnoteReference"/>
          <w:rFonts w:asciiTheme="minorHAnsi" w:hAnsiTheme="minorHAnsi" w:cstheme="minorHAnsi"/>
          <w:i/>
          <w:iCs/>
          <w:lang w:val="en-AU"/>
        </w:rPr>
        <w:footnoteReference w:id="24"/>
      </w:r>
    </w:p>
    <w:p w14:paraId="5A185FA2" w14:textId="77777777" w:rsidR="006F6B9F" w:rsidRPr="00D24885" w:rsidRDefault="006F6B9F" w:rsidP="006F6B9F">
      <w:pPr>
        <w:rPr>
          <w:rFonts w:asciiTheme="minorHAnsi" w:hAnsiTheme="minorHAnsi" w:cstheme="minorHAnsi"/>
          <w:lang w:val="en-AU"/>
        </w:rPr>
      </w:pPr>
      <w:r w:rsidRPr="00D24885">
        <w:rPr>
          <w:rFonts w:asciiTheme="minorHAnsi" w:hAnsiTheme="minorHAnsi" w:cstheme="minorHAnsi"/>
          <w:lang w:val="en-AU"/>
        </w:rPr>
        <w:t>While the NDIS moves some way towards this approach, Australia’s social security system should ensure that all people with disability can access government assistance for disability-related costs regardless of eligibility.</w:t>
      </w:r>
    </w:p>
    <w:p w14:paraId="7419A962" w14:textId="77777777" w:rsidR="006F6B9F" w:rsidRPr="00D24885" w:rsidRDefault="006F6B9F" w:rsidP="006F6B9F">
      <w:pPr>
        <w:rPr>
          <w:rFonts w:asciiTheme="minorHAnsi" w:hAnsiTheme="minorHAnsi" w:cstheme="minorHAnsi"/>
          <w:lang w:val="en-AU"/>
        </w:rPr>
      </w:pPr>
      <w:r w:rsidRPr="00D24885">
        <w:rPr>
          <w:rFonts w:asciiTheme="minorHAnsi" w:hAnsiTheme="minorHAnsi" w:cstheme="minorHAnsi"/>
          <w:lang w:val="en-AU"/>
        </w:rPr>
        <w:t>In line with the Special Rapporteur on the rights of persons with disabilities, AFDO contends that social protection as defined above “constitutes an essential condition for social and economic development for all.”</w:t>
      </w:r>
      <w:r w:rsidRPr="00D24885">
        <w:rPr>
          <w:rStyle w:val="FootnoteReference"/>
          <w:rFonts w:asciiTheme="minorHAnsi" w:hAnsiTheme="minorHAnsi" w:cstheme="minorHAnsi"/>
          <w:lang w:val="en-AU"/>
        </w:rPr>
        <w:footnoteReference w:id="25"/>
      </w:r>
      <w:r w:rsidRPr="00D24885">
        <w:rPr>
          <w:rFonts w:asciiTheme="minorHAnsi" w:hAnsiTheme="minorHAnsi" w:cstheme="minorHAnsi"/>
          <w:lang w:val="en-AU"/>
        </w:rPr>
        <w:t xml:space="preserve"> Furthermore, an effective national social protection system – of which income support payments like DSP are a crucial component – serves as a powerful instrument, not only through “providing income security and reducing poverty and inequality”,</w:t>
      </w:r>
      <w:r w:rsidRPr="00D24885">
        <w:rPr>
          <w:rStyle w:val="FootnoteReference"/>
          <w:rFonts w:asciiTheme="minorHAnsi" w:hAnsiTheme="minorHAnsi" w:cstheme="minorHAnsi"/>
          <w:lang w:val="en-AU"/>
        </w:rPr>
        <w:footnoteReference w:id="26"/>
      </w:r>
      <w:r w:rsidRPr="00D24885">
        <w:rPr>
          <w:rFonts w:asciiTheme="minorHAnsi" w:hAnsiTheme="minorHAnsi" w:cstheme="minorHAnsi"/>
          <w:lang w:val="en-AU"/>
        </w:rPr>
        <w:t xml:space="preserve"> but also by playing a crucial role in enabling the social inclusion and social citizenship of people with disability. Social citizenship, which has been described as a “pre-condition for meaningful democracy”,</w:t>
      </w:r>
      <w:r w:rsidRPr="00D24885">
        <w:rPr>
          <w:rStyle w:val="FootnoteReference"/>
          <w:rFonts w:asciiTheme="minorHAnsi" w:hAnsiTheme="minorHAnsi" w:cstheme="minorHAnsi"/>
          <w:lang w:val="en-AU"/>
        </w:rPr>
        <w:footnoteReference w:id="27"/>
      </w:r>
      <w:r w:rsidRPr="00D24885">
        <w:rPr>
          <w:rFonts w:asciiTheme="minorHAnsi" w:hAnsiTheme="minorHAnsi" w:cstheme="minorHAnsi"/>
          <w:lang w:val="en-AU"/>
        </w:rPr>
        <w:t xml:space="preserve"> refers to an individual’s full enjoyment of and access to political, civil, and social rights.</w:t>
      </w:r>
      <w:r w:rsidRPr="00D24885">
        <w:rPr>
          <w:rStyle w:val="FootnoteReference"/>
          <w:rFonts w:asciiTheme="minorHAnsi" w:hAnsiTheme="minorHAnsi" w:cstheme="minorHAnsi"/>
          <w:lang w:val="en-AU"/>
        </w:rPr>
        <w:footnoteReference w:id="28"/>
      </w:r>
      <w:r w:rsidRPr="00D24885">
        <w:rPr>
          <w:rFonts w:asciiTheme="minorHAnsi" w:hAnsiTheme="minorHAnsi" w:cstheme="minorHAnsi"/>
          <w:lang w:val="en-AU"/>
        </w:rPr>
        <w:t xml:space="preserve"> In the absence of these basic necessities of life, </w:t>
      </w:r>
      <w:r w:rsidRPr="00D24885">
        <w:rPr>
          <w:rFonts w:asciiTheme="minorHAnsi" w:hAnsiTheme="minorHAnsi" w:cstheme="minorHAnsi"/>
          <w:lang w:val="en-AU"/>
        </w:rPr>
        <w:lastRenderedPageBreak/>
        <w:t>individuals are marginalised from real political, economic, and social power, and cannot be said to be meaningfully participating in democracy as they lack the political influence necessary to improve their conditions of life.</w:t>
      </w:r>
    </w:p>
    <w:p w14:paraId="17840526" w14:textId="77777777" w:rsidR="006F6B9F" w:rsidRPr="00D24885" w:rsidRDefault="006F6B9F" w:rsidP="006F6B9F">
      <w:pPr>
        <w:rPr>
          <w:rFonts w:asciiTheme="minorHAnsi" w:hAnsiTheme="minorHAnsi" w:cstheme="minorHAnsi"/>
          <w:lang w:val="en-AU"/>
        </w:rPr>
      </w:pPr>
      <w:r w:rsidRPr="00D24885">
        <w:rPr>
          <w:rFonts w:asciiTheme="minorHAnsi" w:hAnsiTheme="minorHAnsi" w:cstheme="minorHAnsi"/>
          <w:lang w:val="en-AU"/>
        </w:rPr>
        <w:t>As AFDO has most recently argued in a submission to the Disability Royal Commission, and in accordance with the definition of neglect provided therein,</w:t>
      </w:r>
    </w:p>
    <w:p w14:paraId="3EC62FB0" w14:textId="77777777" w:rsidR="006F6B9F" w:rsidRPr="00D24885" w:rsidRDefault="006F6B9F" w:rsidP="006F6B9F">
      <w:pPr>
        <w:ind w:left="720"/>
        <w:rPr>
          <w:rFonts w:asciiTheme="minorHAnsi" w:hAnsiTheme="minorHAnsi" w:cstheme="minorHAnsi"/>
          <w:lang w:val="en-AU"/>
        </w:rPr>
      </w:pPr>
      <w:r w:rsidRPr="00D24885">
        <w:rPr>
          <w:rFonts w:asciiTheme="minorHAnsi" w:hAnsiTheme="minorHAnsi" w:cstheme="minorHAnsi"/>
          <w:i/>
          <w:iCs/>
          <w:lang w:val="en-AU"/>
        </w:rPr>
        <w:t xml:space="preserve">Neglect includes physical or emotional neglect, passive neglect or wilful deprivation. Neglect can be a single significant incident or a systemic issue that involves </w:t>
      </w:r>
      <w:r w:rsidRPr="00D24885">
        <w:rPr>
          <w:rFonts w:asciiTheme="minorHAnsi" w:hAnsiTheme="minorHAnsi" w:cstheme="minorHAnsi"/>
          <w:b/>
          <w:bCs/>
          <w:i/>
          <w:iCs/>
          <w:lang w:val="en-AU"/>
        </w:rPr>
        <w:t>depriving a person with disability of the basic necessities of life</w:t>
      </w:r>
      <w:r w:rsidRPr="00D24885">
        <w:rPr>
          <w:rFonts w:asciiTheme="minorHAnsi" w:hAnsiTheme="minorHAnsi" w:cstheme="minorHAnsi"/>
          <w:i/>
          <w:iCs/>
          <w:lang w:val="en-AU"/>
        </w:rPr>
        <w:t xml:space="preserve"> such as food, drink, shelter, access, mobility, clothing, education, medical care and treatment.</w:t>
      </w:r>
      <w:r w:rsidRPr="00D24885">
        <w:rPr>
          <w:rStyle w:val="FootnoteReference"/>
          <w:rFonts w:asciiTheme="minorHAnsi" w:hAnsiTheme="minorHAnsi" w:cstheme="minorHAnsi"/>
          <w:i/>
          <w:iCs/>
          <w:lang w:val="en-AU"/>
        </w:rPr>
        <w:footnoteReference w:id="29"/>
      </w:r>
    </w:p>
    <w:p w14:paraId="54204535" w14:textId="77777777" w:rsidR="006F6B9F" w:rsidRPr="00D24885" w:rsidRDefault="006F6B9F" w:rsidP="006F6B9F">
      <w:pPr>
        <w:rPr>
          <w:rFonts w:asciiTheme="minorHAnsi" w:hAnsiTheme="minorHAnsi" w:cstheme="minorHAnsi"/>
          <w:lang w:val="en-AU"/>
        </w:rPr>
      </w:pPr>
      <w:r w:rsidRPr="00D24885">
        <w:rPr>
          <w:rFonts w:asciiTheme="minorHAnsi" w:hAnsiTheme="minorHAnsi" w:cstheme="minorHAnsi"/>
          <w:lang w:val="en-AU"/>
        </w:rPr>
        <w:t>AFDO submits that the failure of the Australian government to provide adequate and accessible social support and social protection to people with disability, as evidenced in the significantly higher rates of poverty seen within the disabled community, constitutes institutional neglect through a wilful deprivation of basic life necessities and subsequent denial of social citizenship.</w:t>
      </w:r>
    </w:p>
    <w:p w14:paraId="750BED06" w14:textId="77777777" w:rsidR="006F6B9F" w:rsidRPr="00D24885" w:rsidRDefault="006F6B9F" w:rsidP="006F6B9F">
      <w:pPr>
        <w:rPr>
          <w:rFonts w:asciiTheme="minorHAnsi" w:hAnsiTheme="minorHAnsi" w:cstheme="minorHAnsi"/>
          <w:lang w:val="en-AU" w:eastAsia="zh-CN"/>
        </w:rPr>
      </w:pPr>
    </w:p>
    <w:p w14:paraId="6590F929" w14:textId="77777777" w:rsidR="006F6B9F" w:rsidRPr="00D24885" w:rsidRDefault="006F6B9F" w:rsidP="006F6B9F">
      <w:pPr>
        <w:rPr>
          <w:rFonts w:asciiTheme="minorHAnsi" w:hAnsiTheme="minorHAnsi" w:cstheme="minorHAnsi"/>
          <w:lang w:val="en-AU" w:eastAsia="zh-CN"/>
        </w:rPr>
      </w:pPr>
    </w:p>
    <w:p w14:paraId="5F194244" w14:textId="6710195F" w:rsidR="00396A5D" w:rsidRPr="00D24885" w:rsidRDefault="00396A5D" w:rsidP="007B42FF">
      <w:pPr>
        <w:pStyle w:val="NoSpacing"/>
        <w:rPr>
          <w:lang w:val="en-AU" w:eastAsia="zh-CN"/>
        </w:rPr>
      </w:pPr>
    </w:p>
    <w:p w14:paraId="6FAA3636" w14:textId="6FEEBA9D" w:rsidR="00396A5D" w:rsidRPr="00D24885" w:rsidRDefault="00396A5D" w:rsidP="007B42FF">
      <w:pPr>
        <w:pStyle w:val="NoSpacing"/>
        <w:rPr>
          <w:lang w:val="en-AU" w:eastAsia="zh-CN"/>
        </w:rPr>
      </w:pPr>
    </w:p>
    <w:p w14:paraId="347A02C3" w14:textId="47C8B1B4" w:rsidR="00396A5D" w:rsidRPr="00D24885" w:rsidRDefault="00396A5D" w:rsidP="007B42FF">
      <w:pPr>
        <w:pStyle w:val="NoSpacing"/>
        <w:rPr>
          <w:lang w:val="en-AU" w:eastAsia="zh-CN"/>
        </w:rPr>
      </w:pPr>
    </w:p>
    <w:p w14:paraId="79562F70" w14:textId="7A66CED9" w:rsidR="00396A5D" w:rsidRPr="00D24885" w:rsidRDefault="00396A5D" w:rsidP="007B42FF">
      <w:pPr>
        <w:pStyle w:val="NoSpacing"/>
        <w:rPr>
          <w:lang w:val="en-AU" w:eastAsia="zh-CN"/>
        </w:rPr>
      </w:pPr>
    </w:p>
    <w:p w14:paraId="551A6214" w14:textId="70316DDB" w:rsidR="00396A5D" w:rsidRPr="00D24885" w:rsidRDefault="00396A5D" w:rsidP="007B42FF">
      <w:pPr>
        <w:pStyle w:val="NoSpacing"/>
        <w:rPr>
          <w:lang w:val="en-AU" w:eastAsia="zh-CN"/>
        </w:rPr>
      </w:pPr>
    </w:p>
    <w:p w14:paraId="33506D89" w14:textId="2F86E7BA" w:rsidR="00396A5D" w:rsidRPr="00D24885" w:rsidRDefault="00396A5D" w:rsidP="007B42FF">
      <w:pPr>
        <w:pStyle w:val="NoSpacing"/>
        <w:rPr>
          <w:lang w:val="en-AU" w:eastAsia="zh-CN"/>
        </w:rPr>
      </w:pPr>
    </w:p>
    <w:p w14:paraId="6574A4EF" w14:textId="46E840E9" w:rsidR="00396A5D" w:rsidRPr="00D24885" w:rsidRDefault="00396A5D" w:rsidP="007B42FF">
      <w:pPr>
        <w:pStyle w:val="NoSpacing"/>
        <w:rPr>
          <w:lang w:val="en-AU" w:eastAsia="zh-CN"/>
        </w:rPr>
      </w:pPr>
    </w:p>
    <w:p w14:paraId="570F0D8C" w14:textId="7787AB11" w:rsidR="00396A5D" w:rsidRPr="00D24885" w:rsidRDefault="00396A5D" w:rsidP="007B42FF">
      <w:pPr>
        <w:pStyle w:val="NoSpacing"/>
        <w:rPr>
          <w:lang w:val="en-AU" w:eastAsia="zh-CN"/>
        </w:rPr>
      </w:pPr>
    </w:p>
    <w:p w14:paraId="2ABAAB01" w14:textId="563F1AB5" w:rsidR="00396A5D" w:rsidRPr="00D24885" w:rsidRDefault="00396A5D" w:rsidP="007B42FF">
      <w:pPr>
        <w:pStyle w:val="NoSpacing"/>
        <w:rPr>
          <w:lang w:val="en-AU" w:eastAsia="zh-CN"/>
        </w:rPr>
      </w:pPr>
    </w:p>
    <w:p w14:paraId="4DF06752" w14:textId="1AB89F44" w:rsidR="00396A5D" w:rsidRPr="00D24885" w:rsidRDefault="00396A5D" w:rsidP="007B42FF">
      <w:pPr>
        <w:pStyle w:val="NoSpacing"/>
        <w:rPr>
          <w:lang w:val="en-AU" w:eastAsia="zh-CN"/>
        </w:rPr>
      </w:pPr>
    </w:p>
    <w:p w14:paraId="37C2AB73" w14:textId="42383A03" w:rsidR="00396A5D" w:rsidRPr="00D24885" w:rsidRDefault="00396A5D" w:rsidP="007B42FF">
      <w:pPr>
        <w:pStyle w:val="NoSpacing"/>
        <w:rPr>
          <w:lang w:val="en-AU" w:eastAsia="zh-CN"/>
        </w:rPr>
      </w:pPr>
    </w:p>
    <w:p w14:paraId="021659C3" w14:textId="2E7E4B0F" w:rsidR="00396A5D" w:rsidRPr="00D24885" w:rsidRDefault="00396A5D" w:rsidP="007B42FF">
      <w:pPr>
        <w:pStyle w:val="NoSpacing"/>
        <w:rPr>
          <w:lang w:val="en-AU" w:eastAsia="zh-CN"/>
        </w:rPr>
      </w:pPr>
    </w:p>
    <w:p w14:paraId="3E12414A" w14:textId="5D5F7F42" w:rsidR="00396A5D" w:rsidRPr="00D24885" w:rsidRDefault="00396A5D" w:rsidP="007B42FF">
      <w:pPr>
        <w:pStyle w:val="NoSpacing"/>
        <w:rPr>
          <w:lang w:val="en-AU" w:eastAsia="zh-CN"/>
        </w:rPr>
      </w:pPr>
    </w:p>
    <w:p w14:paraId="33A1FCD7" w14:textId="686D933A" w:rsidR="00396A5D" w:rsidRPr="00D24885" w:rsidRDefault="00396A5D" w:rsidP="007B42FF">
      <w:pPr>
        <w:pStyle w:val="NoSpacing"/>
        <w:rPr>
          <w:lang w:val="en-AU" w:eastAsia="zh-CN"/>
        </w:rPr>
      </w:pPr>
    </w:p>
    <w:p w14:paraId="4EB61114" w14:textId="39BA1384" w:rsidR="00396A5D" w:rsidRPr="00D24885" w:rsidRDefault="00396A5D" w:rsidP="007B42FF">
      <w:pPr>
        <w:pStyle w:val="NoSpacing"/>
        <w:rPr>
          <w:lang w:val="en-AU" w:eastAsia="zh-CN"/>
        </w:rPr>
      </w:pPr>
    </w:p>
    <w:p w14:paraId="328B9455" w14:textId="2FC65181" w:rsidR="00396A5D" w:rsidRPr="00D24885" w:rsidRDefault="00396A5D" w:rsidP="007B42FF">
      <w:pPr>
        <w:pStyle w:val="NoSpacing"/>
        <w:rPr>
          <w:lang w:val="en-AU" w:eastAsia="zh-CN"/>
        </w:rPr>
      </w:pPr>
    </w:p>
    <w:p w14:paraId="6631866C" w14:textId="14FEBECB" w:rsidR="00396A5D" w:rsidRPr="00D24885" w:rsidRDefault="00396A5D" w:rsidP="007B42FF">
      <w:pPr>
        <w:pStyle w:val="NoSpacing"/>
        <w:rPr>
          <w:lang w:val="en-AU" w:eastAsia="zh-CN"/>
        </w:rPr>
      </w:pPr>
    </w:p>
    <w:p w14:paraId="0BEA3842" w14:textId="337CEC88" w:rsidR="00396A5D" w:rsidRPr="00D24885" w:rsidRDefault="00396A5D" w:rsidP="007B42FF">
      <w:pPr>
        <w:pStyle w:val="NoSpacing"/>
        <w:rPr>
          <w:lang w:val="en-AU" w:eastAsia="zh-CN"/>
        </w:rPr>
      </w:pPr>
    </w:p>
    <w:p w14:paraId="5A8AEBDB" w14:textId="1E871138" w:rsidR="00396A5D" w:rsidRPr="00D24885" w:rsidRDefault="00396A5D" w:rsidP="007B42FF">
      <w:pPr>
        <w:pStyle w:val="NoSpacing"/>
        <w:rPr>
          <w:lang w:val="en-AU" w:eastAsia="zh-CN"/>
        </w:rPr>
      </w:pPr>
    </w:p>
    <w:p w14:paraId="6FE5307D" w14:textId="370488E8" w:rsidR="00396A5D" w:rsidRPr="00D24885" w:rsidRDefault="00396A5D" w:rsidP="007B42FF">
      <w:pPr>
        <w:pStyle w:val="NoSpacing"/>
        <w:rPr>
          <w:lang w:val="en-AU" w:eastAsia="zh-CN"/>
        </w:rPr>
      </w:pPr>
    </w:p>
    <w:p w14:paraId="0F10AD37" w14:textId="77777777" w:rsidR="00396A5D" w:rsidRPr="0087732C" w:rsidRDefault="00396A5D" w:rsidP="0087732C">
      <w:pPr>
        <w:pStyle w:val="HeadingNew"/>
      </w:pPr>
      <w:r w:rsidRPr="0087732C">
        <w:lastRenderedPageBreak/>
        <w:t>Key principles for a fair and reasonable Disability Support Pension</w:t>
      </w:r>
    </w:p>
    <w:p w14:paraId="0DD1C537" w14:textId="77777777" w:rsidR="00396A5D" w:rsidRPr="00D24885" w:rsidRDefault="00396A5D" w:rsidP="00396A5D">
      <w:pPr>
        <w:rPr>
          <w:rFonts w:asciiTheme="minorHAnsi" w:hAnsiTheme="minorHAnsi" w:cstheme="minorHAnsi"/>
          <w:lang w:val="en-AU"/>
        </w:rPr>
      </w:pPr>
      <w:r w:rsidRPr="00D24885">
        <w:rPr>
          <w:rFonts w:asciiTheme="minorHAnsi" w:hAnsiTheme="minorHAnsi" w:cstheme="minorHAnsi"/>
          <w:lang w:val="en-AU"/>
        </w:rPr>
        <w:t>AFDO wishes to highlight the following eight key principles that should be adopted to ensure delivery of the DSP is consistent with our international human rights obligations.</w:t>
      </w:r>
    </w:p>
    <w:p w14:paraId="4387853B" w14:textId="77777777" w:rsidR="00396A5D" w:rsidRPr="00D24885" w:rsidRDefault="00396A5D" w:rsidP="00396A5D">
      <w:pPr>
        <w:numPr>
          <w:ilvl w:val="0"/>
          <w:numId w:val="18"/>
        </w:numPr>
        <w:spacing w:after="0"/>
        <w:ind w:left="360"/>
        <w:contextualSpacing/>
        <w:rPr>
          <w:rFonts w:asciiTheme="minorHAnsi" w:hAnsiTheme="minorHAnsi" w:cstheme="minorHAnsi"/>
          <w:lang w:val="en-AU"/>
        </w:rPr>
      </w:pPr>
      <w:r w:rsidRPr="00D24885">
        <w:rPr>
          <w:rFonts w:asciiTheme="minorHAnsi" w:hAnsiTheme="minorHAnsi" w:cstheme="minorHAnsi"/>
          <w:lang w:val="en-AU"/>
        </w:rPr>
        <w:t xml:space="preserve">All persons have a human right to social security and social protection. The right to social security is also a core right of national citizenship in Australia that has long been embedded in legislation and government policy (e.g., Invalid and Old-aged Pension Act, 1908).  </w:t>
      </w:r>
    </w:p>
    <w:p w14:paraId="410EEF64" w14:textId="77777777" w:rsidR="00396A5D" w:rsidRPr="00D24885" w:rsidRDefault="00396A5D" w:rsidP="00396A5D">
      <w:pPr>
        <w:spacing w:after="0"/>
        <w:ind w:left="360"/>
        <w:contextualSpacing/>
        <w:rPr>
          <w:rFonts w:asciiTheme="minorHAnsi" w:hAnsiTheme="minorHAnsi" w:cstheme="minorHAnsi"/>
          <w:sz w:val="14"/>
          <w:lang w:val="en-AU"/>
        </w:rPr>
      </w:pPr>
    </w:p>
    <w:p w14:paraId="7502A9B0" w14:textId="77777777" w:rsidR="00396A5D" w:rsidRPr="00D24885" w:rsidRDefault="00396A5D" w:rsidP="00396A5D">
      <w:pPr>
        <w:numPr>
          <w:ilvl w:val="0"/>
          <w:numId w:val="18"/>
        </w:numPr>
        <w:spacing w:after="0"/>
        <w:ind w:left="360"/>
        <w:contextualSpacing/>
        <w:rPr>
          <w:rFonts w:asciiTheme="minorHAnsi" w:hAnsiTheme="minorHAnsi" w:cstheme="minorHAnsi"/>
          <w:lang w:val="en-AU"/>
        </w:rPr>
      </w:pPr>
      <w:r w:rsidRPr="00D24885">
        <w:rPr>
          <w:rFonts w:asciiTheme="minorHAnsi" w:hAnsiTheme="minorHAnsi" w:cstheme="minorHAnsi"/>
          <w:lang w:val="en-AU"/>
        </w:rPr>
        <w:t>The right to social security and social protection does not deny the right to work for persons with impairment/s and/or chronic condition/s but recognises that across the life course, persons with disability will require differing levels of socio-economic support to account for changes in personal circumstances and in the labour market.</w:t>
      </w:r>
    </w:p>
    <w:p w14:paraId="0234C764" w14:textId="77777777" w:rsidR="00396A5D" w:rsidRPr="00D24885" w:rsidRDefault="00396A5D" w:rsidP="00396A5D">
      <w:pPr>
        <w:spacing w:after="0"/>
        <w:ind w:left="360"/>
        <w:contextualSpacing/>
        <w:rPr>
          <w:rFonts w:asciiTheme="minorHAnsi" w:hAnsiTheme="minorHAnsi" w:cstheme="minorHAnsi"/>
          <w:sz w:val="14"/>
          <w:lang w:val="en-AU"/>
        </w:rPr>
      </w:pPr>
    </w:p>
    <w:p w14:paraId="3DD203F2" w14:textId="77777777" w:rsidR="00396A5D" w:rsidRPr="00D24885" w:rsidRDefault="00396A5D" w:rsidP="00396A5D">
      <w:pPr>
        <w:numPr>
          <w:ilvl w:val="0"/>
          <w:numId w:val="18"/>
        </w:numPr>
        <w:spacing w:after="0"/>
        <w:ind w:left="360"/>
        <w:contextualSpacing/>
        <w:rPr>
          <w:rFonts w:asciiTheme="minorHAnsi" w:hAnsiTheme="minorHAnsi" w:cstheme="minorHAnsi"/>
          <w:lang w:val="en-AU"/>
        </w:rPr>
      </w:pPr>
      <w:r w:rsidRPr="00D24885">
        <w:rPr>
          <w:rFonts w:asciiTheme="minorHAnsi" w:hAnsiTheme="minorHAnsi" w:cstheme="minorHAnsi"/>
          <w:lang w:val="en-AU"/>
        </w:rPr>
        <w:t>Persons with disability who are unable to work or are limited in their capacity to work due to impairment, have a right to social protection and economic security. Mainstream unemployment benefits and income support payments are inappropriate and not fit for purpose as social security payments for persons with disability.</w:t>
      </w:r>
    </w:p>
    <w:p w14:paraId="3CEE32BC" w14:textId="77777777" w:rsidR="00396A5D" w:rsidRPr="00D24885" w:rsidRDefault="00396A5D" w:rsidP="00396A5D">
      <w:pPr>
        <w:spacing w:after="0"/>
        <w:rPr>
          <w:rFonts w:asciiTheme="minorHAnsi" w:hAnsiTheme="minorHAnsi" w:cstheme="minorHAnsi"/>
          <w:sz w:val="14"/>
          <w:lang w:val="en-AU"/>
        </w:rPr>
      </w:pPr>
    </w:p>
    <w:p w14:paraId="191D1C48" w14:textId="77777777" w:rsidR="00396A5D" w:rsidRPr="00D24885" w:rsidRDefault="00396A5D" w:rsidP="00396A5D">
      <w:pPr>
        <w:numPr>
          <w:ilvl w:val="0"/>
          <w:numId w:val="18"/>
        </w:numPr>
        <w:spacing w:after="0"/>
        <w:ind w:left="360"/>
        <w:contextualSpacing/>
        <w:rPr>
          <w:rFonts w:asciiTheme="minorHAnsi" w:eastAsiaTheme="minorHAnsi" w:hAnsiTheme="minorHAnsi" w:cstheme="minorHAnsi"/>
          <w:bCs/>
          <w:kern w:val="0"/>
          <w:sz w:val="22"/>
          <w:szCs w:val="22"/>
          <w:lang w:val="en-AU"/>
        </w:rPr>
      </w:pPr>
      <w:r w:rsidRPr="00D24885">
        <w:rPr>
          <w:rFonts w:asciiTheme="minorHAnsi" w:hAnsiTheme="minorHAnsi" w:cstheme="minorHAnsi"/>
          <w:lang w:val="en-AU"/>
        </w:rPr>
        <w:t xml:space="preserve">The assessment of disability social security eligibility needs to be fair, reasonable, and based upon an objective measure of need to ensure it is first, responsive to the individual and their circumstances, and second, does not generate hardship or greater economic insecurity. </w:t>
      </w:r>
    </w:p>
    <w:p w14:paraId="0CD2C2A9" w14:textId="77777777" w:rsidR="00396A5D" w:rsidRPr="00D24885" w:rsidRDefault="00396A5D" w:rsidP="00396A5D">
      <w:pPr>
        <w:spacing w:after="0"/>
        <w:ind w:left="360"/>
        <w:contextualSpacing/>
        <w:rPr>
          <w:rFonts w:asciiTheme="minorHAnsi" w:eastAsiaTheme="minorHAnsi" w:hAnsiTheme="minorHAnsi" w:cstheme="minorHAnsi"/>
          <w:bCs/>
          <w:kern w:val="0"/>
          <w:sz w:val="14"/>
          <w:szCs w:val="22"/>
          <w:lang w:val="en-AU"/>
        </w:rPr>
      </w:pPr>
    </w:p>
    <w:p w14:paraId="0C829255" w14:textId="77777777" w:rsidR="00396A5D" w:rsidRPr="00D24885" w:rsidRDefault="00396A5D" w:rsidP="00396A5D">
      <w:pPr>
        <w:numPr>
          <w:ilvl w:val="0"/>
          <w:numId w:val="18"/>
        </w:numPr>
        <w:spacing w:after="0"/>
        <w:ind w:left="360"/>
        <w:contextualSpacing/>
        <w:rPr>
          <w:rFonts w:asciiTheme="minorHAnsi" w:hAnsiTheme="minorHAnsi" w:cstheme="minorHAnsi"/>
          <w:lang w:val="en-AU"/>
        </w:rPr>
      </w:pPr>
      <w:r w:rsidRPr="00D24885">
        <w:rPr>
          <w:rFonts w:asciiTheme="minorHAnsi" w:hAnsiTheme="minorHAnsi" w:cstheme="minorHAnsi"/>
          <w:lang w:val="en-AU"/>
        </w:rPr>
        <w:t xml:space="preserve">Disability social security assessment processes should be undertaken by relevant medical and allied health professionals who have the required expertise in relation to the individual’s impairment/s and chronic condition/s </w:t>
      </w:r>
      <w:r w:rsidRPr="00D24885">
        <w:rPr>
          <w:rFonts w:asciiTheme="minorHAnsi" w:hAnsiTheme="minorHAnsi" w:cstheme="minorHAnsi"/>
          <w:i/>
          <w:lang w:val="en-AU"/>
        </w:rPr>
        <w:t xml:space="preserve">alongside </w:t>
      </w:r>
      <w:r w:rsidRPr="00D24885">
        <w:rPr>
          <w:rFonts w:asciiTheme="minorHAnsi" w:hAnsiTheme="minorHAnsi" w:cstheme="minorHAnsi"/>
          <w:lang w:val="en-AU"/>
        </w:rPr>
        <w:t xml:space="preserve">the everyday impacts the impairment/s and/or chronic condition/s have over a period of time </w:t>
      </w:r>
      <w:r w:rsidRPr="00D24885">
        <w:rPr>
          <w:rFonts w:asciiTheme="minorHAnsi" w:hAnsiTheme="minorHAnsi" w:cstheme="minorHAnsi"/>
          <w:bCs/>
          <w:lang w:val="en-AU"/>
        </w:rPr>
        <w:t>and the impacts of social barriers like stigma, discrimination, and inaccessibility of the labour market.</w:t>
      </w:r>
    </w:p>
    <w:p w14:paraId="08347E8E" w14:textId="77777777" w:rsidR="00396A5D" w:rsidRPr="00D24885" w:rsidRDefault="00396A5D" w:rsidP="00396A5D">
      <w:pPr>
        <w:spacing w:after="0"/>
        <w:rPr>
          <w:rFonts w:asciiTheme="minorHAnsi" w:hAnsiTheme="minorHAnsi" w:cstheme="minorHAnsi"/>
          <w:sz w:val="14"/>
          <w:lang w:val="en-AU"/>
        </w:rPr>
      </w:pPr>
    </w:p>
    <w:p w14:paraId="60E7BF7D" w14:textId="77777777" w:rsidR="00396A5D" w:rsidRPr="00D24885" w:rsidRDefault="00396A5D" w:rsidP="00396A5D">
      <w:pPr>
        <w:numPr>
          <w:ilvl w:val="0"/>
          <w:numId w:val="18"/>
        </w:numPr>
        <w:spacing w:after="0"/>
        <w:ind w:left="360"/>
        <w:contextualSpacing/>
        <w:rPr>
          <w:rFonts w:asciiTheme="minorHAnsi" w:hAnsiTheme="minorHAnsi" w:cstheme="minorHAnsi"/>
          <w:lang w:val="en-AU"/>
        </w:rPr>
      </w:pPr>
      <w:r w:rsidRPr="00D24885">
        <w:rPr>
          <w:rFonts w:asciiTheme="minorHAnsi" w:hAnsiTheme="minorHAnsi" w:cstheme="minorHAnsi"/>
          <w:lang w:val="en-AU"/>
        </w:rPr>
        <w:t>Personal information and evidence provided by the assessing medical and allied health professionals, and the individual concerned, remains protected under national privacy legislation, and cannot be shared nor drawn upon without the explicit permission of the individual concerned.</w:t>
      </w:r>
    </w:p>
    <w:p w14:paraId="35A9F733" w14:textId="77777777" w:rsidR="00396A5D" w:rsidRPr="00D24885" w:rsidRDefault="00396A5D" w:rsidP="00396A5D">
      <w:pPr>
        <w:spacing w:after="0"/>
        <w:ind w:left="360"/>
        <w:contextualSpacing/>
        <w:rPr>
          <w:rFonts w:asciiTheme="minorHAnsi" w:hAnsiTheme="minorHAnsi" w:cstheme="minorHAnsi"/>
          <w:sz w:val="14"/>
          <w:lang w:val="en-AU"/>
        </w:rPr>
      </w:pPr>
    </w:p>
    <w:p w14:paraId="547D42BB" w14:textId="77777777" w:rsidR="00396A5D" w:rsidRPr="00D24885" w:rsidRDefault="00396A5D" w:rsidP="00396A5D">
      <w:pPr>
        <w:numPr>
          <w:ilvl w:val="0"/>
          <w:numId w:val="18"/>
        </w:numPr>
        <w:spacing w:after="0"/>
        <w:ind w:left="360"/>
        <w:contextualSpacing/>
        <w:rPr>
          <w:rFonts w:asciiTheme="minorHAnsi" w:hAnsiTheme="minorHAnsi" w:cstheme="minorHAnsi"/>
          <w:lang w:val="en-AU"/>
        </w:rPr>
      </w:pPr>
      <w:r w:rsidRPr="00D24885">
        <w:rPr>
          <w:rFonts w:asciiTheme="minorHAnsi" w:hAnsiTheme="minorHAnsi" w:cstheme="minorHAnsi"/>
          <w:lang w:val="en-AU"/>
        </w:rPr>
        <w:t>Disability social security assessment processes, procedures, and outcomes must be freely and readily available and distributed widely in inclusive, accessible formats and languages to ensure that all persons with disabilities, their support networks, and medical and allied health professional support networks are fully informed.</w:t>
      </w:r>
    </w:p>
    <w:p w14:paraId="6475ECA7" w14:textId="77777777" w:rsidR="00396A5D" w:rsidRPr="00D24885" w:rsidRDefault="00396A5D" w:rsidP="00396A5D">
      <w:pPr>
        <w:spacing w:after="0"/>
        <w:ind w:left="360"/>
        <w:contextualSpacing/>
        <w:rPr>
          <w:rFonts w:asciiTheme="minorHAnsi" w:hAnsiTheme="minorHAnsi" w:cstheme="minorHAnsi"/>
          <w:sz w:val="14"/>
          <w:lang w:val="en-AU"/>
        </w:rPr>
      </w:pPr>
    </w:p>
    <w:p w14:paraId="1B04B204" w14:textId="77777777" w:rsidR="00396A5D" w:rsidRPr="00D24885" w:rsidRDefault="00396A5D" w:rsidP="00396A5D">
      <w:pPr>
        <w:pStyle w:val="ListParagraph"/>
        <w:numPr>
          <w:ilvl w:val="0"/>
          <w:numId w:val="18"/>
        </w:numPr>
        <w:spacing w:before="0" w:after="0"/>
        <w:ind w:left="360"/>
        <w:rPr>
          <w:rFonts w:asciiTheme="minorHAnsi" w:hAnsiTheme="minorHAnsi" w:cstheme="minorHAnsi"/>
          <w:lang w:val="en-AU"/>
        </w:rPr>
      </w:pPr>
      <w:r w:rsidRPr="00D24885">
        <w:rPr>
          <w:rFonts w:asciiTheme="minorHAnsi" w:hAnsiTheme="minorHAnsi" w:cstheme="minorHAnsi"/>
          <w:lang w:val="en-AU"/>
        </w:rPr>
        <w:t xml:space="preserve">Responsible government department/s should publish regular and comprehensive de-identified data documenting the core demographic information of recipients alongside </w:t>
      </w:r>
      <w:r w:rsidRPr="00D24885">
        <w:rPr>
          <w:rFonts w:asciiTheme="minorHAnsi" w:hAnsiTheme="minorHAnsi" w:cstheme="minorHAnsi"/>
          <w:lang w:val="en-AU"/>
        </w:rPr>
        <w:lastRenderedPageBreak/>
        <w:t>changes to regulations and guidelines to enable, first, the monitoring of impact of such changes, and second, to ensure that persons with disabilities and/or chronic conditions, medical and allied health professionals, and relevant organisations are fully informed at all times. These data should be in a form that allows for secondary analysis by independent parties</w:t>
      </w:r>
    </w:p>
    <w:p w14:paraId="1E2DF3C9" w14:textId="77777777" w:rsidR="00396A5D" w:rsidRPr="00D24885" w:rsidRDefault="00396A5D" w:rsidP="00396A5D">
      <w:pPr>
        <w:rPr>
          <w:lang w:val="en-AU"/>
        </w:rPr>
      </w:pPr>
    </w:p>
    <w:p w14:paraId="44050153" w14:textId="508F3EA7" w:rsidR="00396A5D" w:rsidRPr="00D24885" w:rsidRDefault="00396A5D" w:rsidP="007B42FF">
      <w:pPr>
        <w:pStyle w:val="NoSpacing"/>
        <w:rPr>
          <w:lang w:val="en-AU" w:eastAsia="zh-CN"/>
        </w:rPr>
      </w:pPr>
    </w:p>
    <w:p w14:paraId="2263695C" w14:textId="5ACDACFC" w:rsidR="006402B7" w:rsidRPr="00D24885" w:rsidRDefault="006402B7" w:rsidP="007B42FF">
      <w:pPr>
        <w:pStyle w:val="NoSpacing"/>
        <w:rPr>
          <w:lang w:val="en-AU" w:eastAsia="zh-CN"/>
        </w:rPr>
      </w:pPr>
    </w:p>
    <w:p w14:paraId="1F723317" w14:textId="7B1EB046" w:rsidR="006402B7" w:rsidRPr="00D24885" w:rsidRDefault="006402B7" w:rsidP="007B42FF">
      <w:pPr>
        <w:pStyle w:val="NoSpacing"/>
        <w:rPr>
          <w:lang w:val="en-AU" w:eastAsia="zh-CN"/>
        </w:rPr>
      </w:pPr>
    </w:p>
    <w:p w14:paraId="635D731A" w14:textId="13158816" w:rsidR="006402B7" w:rsidRPr="00D24885" w:rsidRDefault="006402B7" w:rsidP="007B42FF">
      <w:pPr>
        <w:pStyle w:val="NoSpacing"/>
        <w:rPr>
          <w:lang w:val="en-AU" w:eastAsia="zh-CN"/>
        </w:rPr>
      </w:pPr>
    </w:p>
    <w:p w14:paraId="3C126D17" w14:textId="29EFCE91" w:rsidR="006402B7" w:rsidRPr="00D24885" w:rsidRDefault="006402B7" w:rsidP="007B42FF">
      <w:pPr>
        <w:pStyle w:val="NoSpacing"/>
        <w:rPr>
          <w:lang w:val="en-AU" w:eastAsia="zh-CN"/>
        </w:rPr>
      </w:pPr>
    </w:p>
    <w:p w14:paraId="6FD467E4" w14:textId="42A28027" w:rsidR="006402B7" w:rsidRPr="00D24885" w:rsidRDefault="006402B7" w:rsidP="007B42FF">
      <w:pPr>
        <w:pStyle w:val="NoSpacing"/>
        <w:rPr>
          <w:lang w:val="en-AU" w:eastAsia="zh-CN"/>
        </w:rPr>
      </w:pPr>
    </w:p>
    <w:p w14:paraId="6F1B286A" w14:textId="7FEA58F3" w:rsidR="006402B7" w:rsidRPr="00D24885" w:rsidRDefault="006402B7" w:rsidP="007B42FF">
      <w:pPr>
        <w:pStyle w:val="NoSpacing"/>
        <w:rPr>
          <w:lang w:val="en-AU" w:eastAsia="zh-CN"/>
        </w:rPr>
      </w:pPr>
    </w:p>
    <w:p w14:paraId="5C635896" w14:textId="6A4A6B80" w:rsidR="006402B7" w:rsidRPr="00D24885" w:rsidRDefault="006402B7" w:rsidP="007B42FF">
      <w:pPr>
        <w:pStyle w:val="NoSpacing"/>
        <w:rPr>
          <w:lang w:val="en-AU" w:eastAsia="zh-CN"/>
        </w:rPr>
      </w:pPr>
    </w:p>
    <w:p w14:paraId="440AF4C0" w14:textId="735C4F20" w:rsidR="006402B7" w:rsidRPr="00D24885" w:rsidRDefault="006402B7" w:rsidP="007B42FF">
      <w:pPr>
        <w:pStyle w:val="NoSpacing"/>
        <w:rPr>
          <w:lang w:val="en-AU" w:eastAsia="zh-CN"/>
        </w:rPr>
      </w:pPr>
    </w:p>
    <w:p w14:paraId="3754759D" w14:textId="3E30CC98" w:rsidR="006402B7" w:rsidRPr="00D24885" w:rsidRDefault="006402B7" w:rsidP="007B42FF">
      <w:pPr>
        <w:pStyle w:val="NoSpacing"/>
        <w:rPr>
          <w:lang w:val="en-AU" w:eastAsia="zh-CN"/>
        </w:rPr>
      </w:pPr>
    </w:p>
    <w:p w14:paraId="7125C4C6" w14:textId="50FACCCD" w:rsidR="006402B7" w:rsidRPr="00D24885" w:rsidRDefault="006402B7" w:rsidP="007B42FF">
      <w:pPr>
        <w:pStyle w:val="NoSpacing"/>
        <w:rPr>
          <w:lang w:val="en-AU" w:eastAsia="zh-CN"/>
        </w:rPr>
      </w:pPr>
    </w:p>
    <w:p w14:paraId="408FAB77" w14:textId="62B1C9A6" w:rsidR="006402B7" w:rsidRPr="00D24885" w:rsidRDefault="006402B7" w:rsidP="007B42FF">
      <w:pPr>
        <w:pStyle w:val="NoSpacing"/>
        <w:rPr>
          <w:lang w:val="en-AU" w:eastAsia="zh-CN"/>
        </w:rPr>
      </w:pPr>
    </w:p>
    <w:p w14:paraId="5991C1D7" w14:textId="47C63B75" w:rsidR="006402B7" w:rsidRPr="00D24885" w:rsidRDefault="006402B7" w:rsidP="007B42FF">
      <w:pPr>
        <w:pStyle w:val="NoSpacing"/>
        <w:rPr>
          <w:lang w:val="en-AU" w:eastAsia="zh-CN"/>
        </w:rPr>
      </w:pPr>
    </w:p>
    <w:p w14:paraId="1AE3D5FE" w14:textId="319526A0" w:rsidR="006402B7" w:rsidRPr="00D24885" w:rsidRDefault="006402B7" w:rsidP="007B42FF">
      <w:pPr>
        <w:pStyle w:val="NoSpacing"/>
        <w:rPr>
          <w:lang w:val="en-AU" w:eastAsia="zh-CN"/>
        </w:rPr>
      </w:pPr>
    </w:p>
    <w:p w14:paraId="41F78830" w14:textId="50307EE4" w:rsidR="006402B7" w:rsidRPr="00D24885" w:rsidRDefault="006402B7" w:rsidP="007B42FF">
      <w:pPr>
        <w:pStyle w:val="NoSpacing"/>
        <w:rPr>
          <w:lang w:val="en-AU" w:eastAsia="zh-CN"/>
        </w:rPr>
      </w:pPr>
    </w:p>
    <w:p w14:paraId="6F80C86B" w14:textId="3A9597AC" w:rsidR="006402B7" w:rsidRPr="00D24885" w:rsidRDefault="006402B7" w:rsidP="007B42FF">
      <w:pPr>
        <w:pStyle w:val="NoSpacing"/>
        <w:rPr>
          <w:lang w:val="en-AU" w:eastAsia="zh-CN"/>
        </w:rPr>
      </w:pPr>
    </w:p>
    <w:p w14:paraId="17E8836B" w14:textId="4E0662DB" w:rsidR="006402B7" w:rsidRPr="00D24885" w:rsidRDefault="006402B7" w:rsidP="007B42FF">
      <w:pPr>
        <w:pStyle w:val="NoSpacing"/>
        <w:rPr>
          <w:lang w:val="en-AU" w:eastAsia="zh-CN"/>
        </w:rPr>
      </w:pPr>
    </w:p>
    <w:p w14:paraId="660B543B" w14:textId="5BAB521E" w:rsidR="006402B7" w:rsidRPr="00D24885" w:rsidRDefault="006402B7" w:rsidP="007B42FF">
      <w:pPr>
        <w:pStyle w:val="NoSpacing"/>
        <w:rPr>
          <w:lang w:val="en-AU" w:eastAsia="zh-CN"/>
        </w:rPr>
      </w:pPr>
    </w:p>
    <w:p w14:paraId="567A3E4F" w14:textId="2AB54EBE" w:rsidR="006402B7" w:rsidRPr="00D24885" w:rsidRDefault="006402B7" w:rsidP="007B42FF">
      <w:pPr>
        <w:pStyle w:val="NoSpacing"/>
        <w:rPr>
          <w:lang w:val="en-AU" w:eastAsia="zh-CN"/>
        </w:rPr>
      </w:pPr>
    </w:p>
    <w:p w14:paraId="089A9409" w14:textId="2D2DDBE9" w:rsidR="006402B7" w:rsidRPr="00D24885" w:rsidRDefault="006402B7" w:rsidP="007B42FF">
      <w:pPr>
        <w:pStyle w:val="NoSpacing"/>
        <w:rPr>
          <w:lang w:val="en-AU" w:eastAsia="zh-CN"/>
        </w:rPr>
      </w:pPr>
    </w:p>
    <w:p w14:paraId="535A4DCA" w14:textId="4A67178C" w:rsidR="006402B7" w:rsidRPr="00D24885" w:rsidRDefault="006402B7" w:rsidP="007B42FF">
      <w:pPr>
        <w:pStyle w:val="NoSpacing"/>
        <w:rPr>
          <w:lang w:val="en-AU" w:eastAsia="zh-CN"/>
        </w:rPr>
      </w:pPr>
    </w:p>
    <w:p w14:paraId="6FFF358A" w14:textId="2CB5ED9D" w:rsidR="006402B7" w:rsidRPr="00D24885" w:rsidRDefault="006402B7" w:rsidP="007B42FF">
      <w:pPr>
        <w:pStyle w:val="NoSpacing"/>
        <w:rPr>
          <w:lang w:val="en-AU" w:eastAsia="zh-CN"/>
        </w:rPr>
      </w:pPr>
    </w:p>
    <w:p w14:paraId="5A696AE3" w14:textId="193671EA" w:rsidR="006402B7" w:rsidRPr="00D24885" w:rsidRDefault="006402B7" w:rsidP="007B42FF">
      <w:pPr>
        <w:pStyle w:val="NoSpacing"/>
        <w:rPr>
          <w:lang w:val="en-AU" w:eastAsia="zh-CN"/>
        </w:rPr>
      </w:pPr>
    </w:p>
    <w:p w14:paraId="58BCE39D" w14:textId="6174F46C" w:rsidR="006402B7" w:rsidRPr="00D24885" w:rsidRDefault="006402B7" w:rsidP="007B42FF">
      <w:pPr>
        <w:pStyle w:val="NoSpacing"/>
        <w:rPr>
          <w:lang w:val="en-AU" w:eastAsia="zh-CN"/>
        </w:rPr>
      </w:pPr>
    </w:p>
    <w:p w14:paraId="5ED1ACC6" w14:textId="2CDE0418" w:rsidR="006402B7" w:rsidRPr="00D24885" w:rsidRDefault="006402B7" w:rsidP="007B42FF">
      <w:pPr>
        <w:pStyle w:val="NoSpacing"/>
        <w:rPr>
          <w:lang w:val="en-AU" w:eastAsia="zh-CN"/>
        </w:rPr>
      </w:pPr>
    </w:p>
    <w:p w14:paraId="5C4FD03A" w14:textId="7CF43428" w:rsidR="006402B7" w:rsidRPr="00D24885" w:rsidRDefault="006402B7" w:rsidP="007B42FF">
      <w:pPr>
        <w:pStyle w:val="NoSpacing"/>
        <w:rPr>
          <w:lang w:val="en-AU" w:eastAsia="zh-CN"/>
        </w:rPr>
      </w:pPr>
    </w:p>
    <w:p w14:paraId="3F81E2BC" w14:textId="74E4180A" w:rsidR="006402B7" w:rsidRPr="00D24885" w:rsidRDefault="006402B7" w:rsidP="007B42FF">
      <w:pPr>
        <w:pStyle w:val="NoSpacing"/>
        <w:rPr>
          <w:lang w:val="en-AU" w:eastAsia="zh-CN"/>
        </w:rPr>
      </w:pPr>
    </w:p>
    <w:p w14:paraId="6D7B3E5A" w14:textId="2C13F350" w:rsidR="006402B7" w:rsidRPr="00D24885" w:rsidRDefault="006402B7" w:rsidP="007B42FF">
      <w:pPr>
        <w:pStyle w:val="NoSpacing"/>
        <w:rPr>
          <w:lang w:val="en-AU" w:eastAsia="zh-CN"/>
        </w:rPr>
      </w:pPr>
    </w:p>
    <w:p w14:paraId="146A1E34" w14:textId="46157813" w:rsidR="006402B7" w:rsidRPr="00D24885" w:rsidRDefault="006402B7" w:rsidP="007B42FF">
      <w:pPr>
        <w:pStyle w:val="NoSpacing"/>
        <w:rPr>
          <w:lang w:val="en-AU" w:eastAsia="zh-CN"/>
        </w:rPr>
      </w:pPr>
    </w:p>
    <w:p w14:paraId="40AC39CF" w14:textId="2A3289ED" w:rsidR="006402B7" w:rsidRPr="00D24885" w:rsidRDefault="006402B7" w:rsidP="007B42FF">
      <w:pPr>
        <w:pStyle w:val="NoSpacing"/>
        <w:rPr>
          <w:lang w:val="en-AU" w:eastAsia="zh-CN"/>
        </w:rPr>
      </w:pPr>
    </w:p>
    <w:p w14:paraId="6FE206C3" w14:textId="4D2A537C" w:rsidR="006402B7" w:rsidRPr="00D24885" w:rsidRDefault="006402B7" w:rsidP="007B42FF">
      <w:pPr>
        <w:pStyle w:val="NoSpacing"/>
        <w:rPr>
          <w:lang w:val="en-AU" w:eastAsia="zh-CN"/>
        </w:rPr>
      </w:pPr>
    </w:p>
    <w:p w14:paraId="6BD1A492" w14:textId="64A35DC9" w:rsidR="006402B7" w:rsidRPr="00D24885" w:rsidRDefault="006402B7" w:rsidP="007B42FF">
      <w:pPr>
        <w:pStyle w:val="NoSpacing"/>
        <w:rPr>
          <w:lang w:val="en-AU" w:eastAsia="zh-CN"/>
        </w:rPr>
      </w:pPr>
    </w:p>
    <w:p w14:paraId="6A51E5D2" w14:textId="62EAA884" w:rsidR="006402B7" w:rsidRPr="00D24885" w:rsidRDefault="006402B7" w:rsidP="007B42FF">
      <w:pPr>
        <w:pStyle w:val="NoSpacing"/>
        <w:rPr>
          <w:lang w:val="en-AU" w:eastAsia="zh-CN"/>
        </w:rPr>
      </w:pPr>
    </w:p>
    <w:p w14:paraId="5F4FBA20" w14:textId="10A4463A" w:rsidR="006402B7" w:rsidRPr="00D24885" w:rsidRDefault="006402B7" w:rsidP="007B42FF">
      <w:pPr>
        <w:pStyle w:val="NoSpacing"/>
        <w:rPr>
          <w:lang w:val="en-AU" w:eastAsia="zh-CN"/>
        </w:rPr>
      </w:pPr>
    </w:p>
    <w:p w14:paraId="0926E86E" w14:textId="34AF70C5" w:rsidR="006402B7" w:rsidRPr="00D24885" w:rsidRDefault="006402B7" w:rsidP="007B42FF">
      <w:pPr>
        <w:pStyle w:val="NoSpacing"/>
        <w:rPr>
          <w:lang w:val="en-AU" w:eastAsia="zh-CN"/>
        </w:rPr>
      </w:pPr>
    </w:p>
    <w:p w14:paraId="498600DE" w14:textId="34DC338B" w:rsidR="006402B7" w:rsidRPr="00D24885" w:rsidRDefault="006402B7" w:rsidP="007B42FF">
      <w:pPr>
        <w:pStyle w:val="NoSpacing"/>
        <w:rPr>
          <w:lang w:val="en-AU" w:eastAsia="zh-CN"/>
        </w:rPr>
      </w:pPr>
    </w:p>
    <w:p w14:paraId="7EB22EBD" w14:textId="14B8014C" w:rsidR="006402B7" w:rsidRPr="00D24885" w:rsidRDefault="006402B7" w:rsidP="007B42FF">
      <w:pPr>
        <w:pStyle w:val="NoSpacing"/>
        <w:rPr>
          <w:lang w:val="en-AU" w:eastAsia="zh-CN"/>
        </w:rPr>
      </w:pPr>
    </w:p>
    <w:p w14:paraId="7216852B" w14:textId="64FFA42D" w:rsidR="006402B7" w:rsidRPr="00D24885" w:rsidRDefault="006402B7" w:rsidP="007B42FF">
      <w:pPr>
        <w:pStyle w:val="NoSpacing"/>
        <w:rPr>
          <w:lang w:val="en-AU" w:eastAsia="zh-CN"/>
        </w:rPr>
      </w:pPr>
    </w:p>
    <w:p w14:paraId="3E4A3F5E" w14:textId="416DDE01" w:rsidR="006402B7" w:rsidRPr="00D24885" w:rsidRDefault="006402B7" w:rsidP="007B42FF">
      <w:pPr>
        <w:pStyle w:val="NoSpacing"/>
        <w:rPr>
          <w:lang w:val="en-AU" w:eastAsia="zh-CN"/>
        </w:rPr>
      </w:pPr>
    </w:p>
    <w:p w14:paraId="2EEA9293" w14:textId="7805CC71" w:rsidR="006402B7" w:rsidRPr="00D24885" w:rsidRDefault="006402B7" w:rsidP="007B42FF">
      <w:pPr>
        <w:pStyle w:val="NoSpacing"/>
        <w:rPr>
          <w:lang w:val="en-AU" w:eastAsia="zh-CN"/>
        </w:rPr>
      </w:pPr>
    </w:p>
    <w:p w14:paraId="1181105A" w14:textId="1F5D0591" w:rsidR="006402B7" w:rsidRPr="00D24885" w:rsidRDefault="006402B7" w:rsidP="007B42FF">
      <w:pPr>
        <w:pStyle w:val="NoSpacing"/>
        <w:rPr>
          <w:lang w:val="en-AU" w:eastAsia="zh-CN"/>
        </w:rPr>
      </w:pPr>
    </w:p>
    <w:p w14:paraId="1F9BF38D" w14:textId="77777777" w:rsidR="006402B7" w:rsidRPr="00D24885" w:rsidRDefault="006402B7" w:rsidP="006402B7">
      <w:pPr>
        <w:pStyle w:val="HeadingNew"/>
        <w:rPr>
          <w:lang w:val="en-AU"/>
        </w:rPr>
      </w:pPr>
      <w:r w:rsidRPr="00D24885">
        <w:rPr>
          <w:lang w:val="en-AU"/>
        </w:rPr>
        <w:lastRenderedPageBreak/>
        <w:t>Reference List</w:t>
      </w:r>
    </w:p>
    <w:p w14:paraId="66DD4B69" w14:textId="77777777" w:rsidR="00AB54DA" w:rsidRDefault="00AB54DA" w:rsidP="00AB54DA">
      <w:pPr>
        <w:rPr>
          <w:rFonts w:asciiTheme="minorHAnsi" w:hAnsiTheme="minorHAnsi" w:cstheme="minorHAnsi"/>
          <w:lang w:val="en-AU"/>
        </w:rPr>
      </w:pPr>
      <w:r w:rsidRPr="00EE3E68">
        <w:rPr>
          <w:rFonts w:asciiTheme="minorHAnsi" w:hAnsiTheme="minorHAnsi" w:cstheme="minorHAnsi"/>
          <w:lang w:val="en-AU"/>
        </w:rPr>
        <w:t xml:space="preserve">Anglicare Australia (2021) </w:t>
      </w:r>
      <w:r w:rsidRPr="00EE3E68">
        <w:rPr>
          <w:rFonts w:asciiTheme="minorHAnsi" w:hAnsiTheme="minorHAnsi" w:cstheme="minorHAnsi"/>
          <w:i/>
          <w:iCs/>
          <w:lang w:val="en-AU"/>
        </w:rPr>
        <w:t>Rental Affordability Snapshot – national report April 2021</w:t>
      </w:r>
      <w:r w:rsidRPr="00EE3E68">
        <w:rPr>
          <w:rFonts w:asciiTheme="minorHAnsi" w:hAnsiTheme="minorHAnsi" w:cstheme="minorHAnsi"/>
          <w:lang w:val="en-AU"/>
        </w:rPr>
        <w:t>, Anglicare Australia, accessed 1 Feb 2023.</w:t>
      </w:r>
      <w:r w:rsidRPr="00EE3E68">
        <w:rPr>
          <w:rFonts w:asciiTheme="minorHAnsi" w:hAnsiTheme="minorHAnsi" w:cstheme="minorHAnsi"/>
          <w:lang w:val="en-AU"/>
        </w:rPr>
        <w:br/>
        <w:t xml:space="preserve">&lt;https://www.anglicare.asn.au/publications/rental-affordability-snapshot-2021/&gt; </w:t>
      </w:r>
    </w:p>
    <w:p w14:paraId="52A2FB92" w14:textId="6BA23CC4" w:rsidR="00AB54DA" w:rsidRDefault="00AB54DA" w:rsidP="00AB54DA">
      <w:pPr>
        <w:rPr>
          <w:rFonts w:asciiTheme="minorHAnsi" w:hAnsiTheme="minorHAnsi" w:cstheme="minorHAnsi"/>
          <w:lang w:val="en-AU"/>
        </w:rPr>
      </w:pPr>
      <w:r w:rsidRPr="00EE3E68">
        <w:rPr>
          <w:rFonts w:asciiTheme="minorHAnsi" w:hAnsiTheme="minorHAnsi" w:cstheme="minorHAnsi"/>
          <w:lang w:val="en-AU"/>
        </w:rPr>
        <w:t xml:space="preserve">Australian Bureau of Statistics (ABS) (2018) </w:t>
      </w:r>
      <w:r w:rsidRPr="00EE3E68">
        <w:rPr>
          <w:rFonts w:asciiTheme="minorHAnsi" w:hAnsiTheme="minorHAnsi" w:cstheme="minorHAnsi"/>
          <w:i/>
          <w:iCs/>
          <w:lang w:val="en-AU"/>
        </w:rPr>
        <w:t>Disability, Ageing and Carers, Australia: Summary of Findings</w:t>
      </w:r>
      <w:r w:rsidRPr="00EE3E68">
        <w:rPr>
          <w:rFonts w:asciiTheme="minorHAnsi" w:hAnsiTheme="minorHAnsi" w:cstheme="minorHAnsi"/>
          <w:lang w:val="en-AU"/>
        </w:rPr>
        <w:t>, ABS, accessed 1 February 2023. &lt;https://www.abs.gov.au/statistics/health/disability/disability-ageing-and-carers-australia-summary-findings/latest-release&gt;</w:t>
      </w:r>
    </w:p>
    <w:p w14:paraId="5199F69D" w14:textId="77777777" w:rsidR="00AB54DA" w:rsidRDefault="00AB54DA" w:rsidP="00AB54DA">
      <w:pPr>
        <w:rPr>
          <w:rFonts w:asciiTheme="minorHAnsi" w:hAnsiTheme="minorHAnsi" w:cstheme="minorHAnsi"/>
          <w:lang w:val="en-AU"/>
        </w:rPr>
      </w:pPr>
      <w:r w:rsidRPr="00EE3E68">
        <w:rPr>
          <w:rFonts w:asciiTheme="minorHAnsi" w:hAnsiTheme="minorHAnsi" w:cstheme="minorHAnsi"/>
          <w:lang w:val="en-AU"/>
        </w:rPr>
        <w:t xml:space="preserve">Australian Government (2021) </w:t>
      </w:r>
      <w:r w:rsidRPr="00EE3E68">
        <w:rPr>
          <w:rFonts w:asciiTheme="minorHAnsi" w:hAnsiTheme="minorHAnsi" w:cstheme="minorHAnsi"/>
          <w:i/>
          <w:iCs/>
          <w:lang w:val="en-AU"/>
        </w:rPr>
        <w:t xml:space="preserve">Key Terms, </w:t>
      </w:r>
      <w:r w:rsidRPr="00EE3E68">
        <w:rPr>
          <w:rFonts w:asciiTheme="minorHAnsi" w:hAnsiTheme="minorHAnsi" w:cstheme="minorHAnsi"/>
          <w:lang w:val="en-AU"/>
        </w:rPr>
        <w:t>Royal Commission into Violence, Abuse, Neglect and Exploitation of People with Disability, accessed 27 August 2021.</w:t>
      </w:r>
      <w:r w:rsidRPr="00EE3E68">
        <w:rPr>
          <w:rFonts w:asciiTheme="minorHAnsi" w:hAnsiTheme="minorHAnsi" w:cstheme="minorHAnsi"/>
          <w:lang w:val="en-AU"/>
        </w:rPr>
        <w:br/>
        <w:t>&lt;https://disability.royalcommission.gov.au/about-royal-commission/key-terms&gt;</w:t>
      </w:r>
    </w:p>
    <w:p w14:paraId="1A96D86D" w14:textId="77777777" w:rsidR="00AB54DA" w:rsidRDefault="00AB54DA" w:rsidP="00AB54DA">
      <w:pPr>
        <w:rPr>
          <w:rFonts w:asciiTheme="minorHAnsi" w:hAnsiTheme="minorHAnsi" w:cstheme="minorHAnsi"/>
          <w:lang w:val="en-AU"/>
        </w:rPr>
      </w:pPr>
      <w:r w:rsidRPr="00EE3E68">
        <w:rPr>
          <w:rFonts w:asciiTheme="minorHAnsi" w:hAnsiTheme="minorHAnsi" w:cstheme="minorHAnsi"/>
          <w:lang w:val="en-AU"/>
        </w:rPr>
        <w:t xml:space="preserve">Australian Institute for Health and Welfare (AIHW) (2021) </w:t>
      </w:r>
      <w:r w:rsidRPr="00EE3E68">
        <w:rPr>
          <w:rFonts w:asciiTheme="minorHAnsi" w:hAnsiTheme="minorHAnsi" w:cstheme="minorHAnsi"/>
          <w:i/>
          <w:iCs/>
          <w:lang w:val="en-AU"/>
        </w:rPr>
        <w:t>Housing assistance in Australia</w:t>
      </w:r>
      <w:r w:rsidRPr="00EE3E68">
        <w:rPr>
          <w:rFonts w:asciiTheme="minorHAnsi" w:hAnsiTheme="minorHAnsi" w:cstheme="minorHAnsi"/>
          <w:lang w:val="en-AU"/>
        </w:rPr>
        <w:t>, AIHW, accessed 1 February 2023.</w:t>
      </w:r>
      <w:r w:rsidRPr="00EE3E68">
        <w:rPr>
          <w:rFonts w:asciiTheme="minorHAnsi" w:hAnsiTheme="minorHAnsi" w:cstheme="minorHAnsi"/>
          <w:lang w:val="en-AU"/>
        </w:rPr>
        <w:br/>
        <w:t>&lt;https://www.aihw.gov.au/reports/housing-assistance/housing-assistance-in-australia/contents/about&gt;</w:t>
      </w:r>
    </w:p>
    <w:p w14:paraId="27F99CF3" w14:textId="77777777" w:rsidR="00AB54DA" w:rsidRPr="00E9104A" w:rsidRDefault="00AB54DA" w:rsidP="00AB54DA">
      <w:pPr>
        <w:rPr>
          <w:rFonts w:asciiTheme="minorHAnsi" w:hAnsiTheme="minorHAnsi" w:cstheme="minorHAnsi"/>
          <w:i/>
          <w:iCs/>
          <w:lang w:val="en-AU"/>
        </w:rPr>
      </w:pPr>
      <w:r w:rsidRPr="00EE3E68">
        <w:rPr>
          <w:rFonts w:asciiTheme="minorHAnsi" w:hAnsiTheme="minorHAnsi" w:cstheme="minorHAnsi"/>
          <w:lang w:val="en-AU"/>
        </w:rPr>
        <w:t xml:space="preserve">Australian Institute of Health and Welfare (AIHW) (2022a) </w:t>
      </w:r>
      <w:r w:rsidRPr="00EE3E68">
        <w:rPr>
          <w:rFonts w:asciiTheme="minorHAnsi" w:hAnsiTheme="minorHAnsi" w:cstheme="minorHAnsi"/>
          <w:i/>
          <w:iCs/>
          <w:lang w:val="en-AU"/>
        </w:rPr>
        <w:t xml:space="preserve">People with disability in Australia 2022: In brief, </w:t>
      </w:r>
      <w:r w:rsidRPr="00EE3E68">
        <w:rPr>
          <w:rFonts w:asciiTheme="minorHAnsi" w:hAnsiTheme="minorHAnsi" w:cstheme="minorHAnsi"/>
          <w:lang w:val="en-AU"/>
        </w:rPr>
        <w:t>catalogue number DIS 81, AIHW, Australian Government.</w:t>
      </w:r>
      <w:r w:rsidRPr="00EE3E68">
        <w:rPr>
          <w:rFonts w:asciiTheme="minorHAnsi" w:hAnsiTheme="minorHAnsi" w:cstheme="minorHAnsi"/>
          <w:lang w:val="en-AU"/>
        </w:rPr>
        <w:br/>
        <w:t>&lt;https://www.aihw.gov.au/getmedia/d4f8b523-a6e9-427f-a88e-31cb1b61dc3b/aihw-dis-81-people-with-disability-in-australia-2022-in-brief.pdf.aspx?inline=true&gt;</w:t>
      </w:r>
    </w:p>
    <w:p w14:paraId="2E06D777" w14:textId="77777777" w:rsidR="00AB54DA" w:rsidRDefault="00AB54DA" w:rsidP="00AB54DA">
      <w:pPr>
        <w:rPr>
          <w:rFonts w:asciiTheme="minorHAnsi" w:hAnsiTheme="minorHAnsi" w:cstheme="minorHAnsi"/>
          <w:lang w:val="en-AU"/>
        </w:rPr>
      </w:pPr>
      <w:r w:rsidRPr="00EE3E68">
        <w:rPr>
          <w:rFonts w:asciiTheme="minorHAnsi" w:hAnsiTheme="minorHAnsi" w:cstheme="minorHAnsi"/>
          <w:lang w:val="en-AU"/>
        </w:rPr>
        <w:t xml:space="preserve">Australian Institute for Health and Welfare (AIHW) (2022b) </w:t>
      </w:r>
      <w:r w:rsidRPr="00EE3E68">
        <w:rPr>
          <w:rFonts w:asciiTheme="minorHAnsi" w:hAnsiTheme="minorHAnsi" w:cstheme="minorHAnsi"/>
          <w:i/>
          <w:iCs/>
          <w:lang w:val="en-AU"/>
        </w:rPr>
        <w:t>Specialist homelessness services annual report 2021-2022</w:t>
      </w:r>
      <w:r w:rsidRPr="00EE3E68">
        <w:rPr>
          <w:rFonts w:asciiTheme="minorHAnsi" w:hAnsiTheme="minorHAnsi" w:cstheme="minorHAnsi"/>
          <w:lang w:val="en-AU"/>
        </w:rPr>
        <w:t>, AIHW, accessed 1 Feb 2023.</w:t>
      </w:r>
      <w:r w:rsidRPr="00EE3E68">
        <w:rPr>
          <w:rFonts w:asciiTheme="minorHAnsi" w:hAnsiTheme="minorHAnsi" w:cstheme="minorHAnsi"/>
          <w:lang w:val="en-AU"/>
        </w:rPr>
        <w:br/>
        <w:t>&lt;https://www.aihw.gov.au/reports/homelessness-services/shs-annual-report-2020-21/contents/about&gt;</w:t>
      </w:r>
    </w:p>
    <w:p w14:paraId="5784CB1E" w14:textId="77777777" w:rsidR="00AB54DA" w:rsidRPr="00EE3E68" w:rsidRDefault="00AB54DA" w:rsidP="00AB54DA">
      <w:pPr>
        <w:rPr>
          <w:rFonts w:asciiTheme="minorHAnsi" w:hAnsiTheme="minorHAnsi" w:cstheme="minorHAnsi"/>
          <w:lang w:val="en-AU"/>
        </w:rPr>
      </w:pPr>
      <w:r w:rsidRPr="00EE3E68">
        <w:rPr>
          <w:rFonts w:asciiTheme="minorHAnsi" w:hAnsiTheme="minorHAnsi" w:cstheme="minorHAnsi"/>
          <w:lang w:val="en-AU"/>
        </w:rPr>
        <w:t xml:space="preserve">Davidson, P., Bradbury, B. &amp; Wong, M. (2020) </w:t>
      </w:r>
      <w:r w:rsidRPr="00EE3E68">
        <w:rPr>
          <w:rFonts w:asciiTheme="minorHAnsi" w:hAnsiTheme="minorHAnsi" w:cstheme="minorHAnsi"/>
          <w:i/>
          <w:iCs/>
          <w:lang w:val="en-AU"/>
        </w:rPr>
        <w:t>Poverty in Australia 2020: Part 2, Who is affected?</w:t>
      </w:r>
      <w:r w:rsidRPr="00EE3E68">
        <w:rPr>
          <w:rFonts w:asciiTheme="minorHAnsi" w:hAnsiTheme="minorHAnsi" w:cstheme="minorHAnsi"/>
          <w:lang w:val="en-AU"/>
        </w:rPr>
        <w:t xml:space="preserve"> ACOSS/UNSW Poverty and Inequality Partnership Report No. 4, Sydney: ACOSS.</w:t>
      </w:r>
    </w:p>
    <w:p w14:paraId="1C712467" w14:textId="77777777" w:rsidR="00AB54DA" w:rsidRDefault="00AB54DA" w:rsidP="00AB54DA">
      <w:proofErr w:type="spellStart"/>
      <w:r w:rsidRPr="00EE3E68">
        <w:rPr>
          <w:rFonts w:asciiTheme="minorHAnsi" w:hAnsiTheme="minorHAnsi" w:cstheme="minorHAnsi"/>
          <w:lang w:val="en-AU"/>
        </w:rPr>
        <w:t>Devandas</w:t>
      </w:r>
      <w:proofErr w:type="spellEnd"/>
      <w:r w:rsidRPr="00EE3E68">
        <w:rPr>
          <w:rFonts w:asciiTheme="minorHAnsi" w:hAnsiTheme="minorHAnsi" w:cstheme="minorHAnsi"/>
          <w:lang w:val="en-AU"/>
        </w:rPr>
        <w:t xml:space="preserve"> Aguilar, C. (2015) </w:t>
      </w:r>
      <w:r w:rsidRPr="00EE3E68">
        <w:rPr>
          <w:rFonts w:asciiTheme="minorHAnsi" w:hAnsiTheme="minorHAnsi" w:cstheme="minorHAnsi"/>
          <w:i/>
          <w:iCs/>
          <w:lang w:val="en-AU"/>
        </w:rPr>
        <w:t>Report of the Special Rapporteur on the rights of persons with disabilities</w:t>
      </w:r>
      <w:r w:rsidRPr="00EE3E68">
        <w:rPr>
          <w:rFonts w:asciiTheme="minorHAnsi" w:hAnsiTheme="minorHAnsi" w:cstheme="minorHAnsi"/>
          <w:lang w:val="en-AU"/>
        </w:rPr>
        <w:t>, United Nations General Assembly: New York. NY.</w:t>
      </w:r>
    </w:p>
    <w:p w14:paraId="725DD6EA" w14:textId="150ACC24" w:rsidR="00B22523" w:rsidRDefault="00B22523" w:rsidP="00AB54DA">
      <w:pPr>
        <w:rPr>
          <w:rFonts w:asciiTheme="minorHAnsi" w:hAnsiTheme="minorHAnsi" w:cstheme="minorHAnsi"/>
          <w:lang w:val="en-AU"/>
        </w:rPr>
      </w:pPr>
      <w:r w:rsidRPr="00EE3E68">
        <w:rPr>
          <w:rFonts w:asciiTheme="minorHAnsi" w:hAnsiTheme="minorHAnsi" w:cstheme="minorHAnsi"/>
          <w:lang w:val="en-AU"/>
        </w:rPr>
        <w:t xml:space="preserve">John, E., Thomas, G. &amp; </w:t>
      </w:r>
      <w:proofErr w:type="spellStart"/>
      <w:r w:rsidRPr="00EE3E68">
        <w:rPr>
          <w:rFonts w:asciiTheme="minorHAnsi" w:hAnsiTheme="minorHAnsi" w:cstheme="minorHAnsi"/>
          <w:lang w:val="en-AU"/>
        </w:rPr>
        <w:t>Touchet</w:t>
      </w:r>
      <w:proofErr w:type="spellEnd"/>
      <w:r w:rsidRPr="00EE3E68">
        <w:rPr>
          <w:rFonts w:asciiTheme="minorHAnsi" w:hAnsiTheme="minorHAnsi" w:cstheme="minorHAnsi"/>
          <w:lang w:val="en-AU"/>
        </w:rPr>
        <w:t xml:space="preserve">, A. (2019) </w:t>
      </w:r>
      <w:r w:rsidRPr="00EE3E68">
        <w:rPr>
          <w:rFonts w:asciiTheme="minorHAnsi" w:hAnsiTheme="minorHAnsi" w:cstheme="minorHAnsi"/>
          <w:i/>
          <w:iCs/>
          <w:lang w:val="en-AU"/>
        </w:rPr>
        <w:t>The Disability Price Tag 2019: Policy report</w:t>
      </w:r>
      <w:r w:rsidRPr="00EE3E68">
        <w:rPr>
          <w:rFonts w:asciiTheme="minorHAnsi" w:hAnsiTheme="minorHAnsi" w:cstheme="minorHAnsi"/>
          <w:lang w:val="en-AU"/>
        </w:rPr>
        <w:t>, SCOPE, accessed 30 August 2021.</w:t>
      </w:r>
      <w:r w:rsidRPr="00EE3E68">
        <w:rPr>
          <w:rFonts w:asciiTheme="minorHAnsi" w:hAnsiTheme="minorHAnsi" w:cstheme="minorHAnsi"/>
          <w:lang w:val="en-AU"/>
        </w:rPr>
        <w:br/>
        <w:t>&lt;https://www.scope.org.uk/campaigns/extra-costs/disability-price-tag/&gt;</w:t>
      </w:r>
    </w:p>
    <w:p w14:paraId="3B8E497A" w14:textId="3CB4779F" w:rsidR="00AB54DA" w:rsidRDefault="00AB54DA" w:rsidP="00AB54DA">
      <w:pPr>
        <w:rPr>
          <w:rFonts w:asciiTheme="minorHAnsi" w:hAnsiTheme="minorHAnsi" w:cstheme="minorHAnsi"/>
          <w:lang w:val="en-AU"/>
        </w:rPr>
      </w:pPr>
      <w:r w:rsidRPr="00EE3E68">
        <w:rPr>
          <w:rFonts w:asciiTheme="minorHAnsi" w:hAnsiTheme="minorHAnsi" w:cstheme="minorHAnsi"/>
          <w:lang w:val="en-AU"/>
        </w:rPr>
        <w:t xml:space="preserve">Liebenberg, S. (1999) ‘Social Citizenship: A Precondition for Meaningful Democracy’, </w:t>
      </w:r>
      <w:r w:rsidRPr="00EE3E68">
        <w:rPr>
          <w:rFonts w:asciiTheme="minorHAnsi" w:hAnsiTheme="minorHAnsi" w:cstheme="minorHAnsi"/>
          <w:i/>
          <w:iCs/>
          <w:lang w:val="en-AU"/>
        </w:rPr>
        <w:t>Agenda: Empowering Women for Gender Equity</w:t>
      </w:r>
      <w:r w:rsidRPr="00EE3E68">
        <w:rPr>
          <w:rFonts w:asciiTheme="minorHAnsi" w:hAnsiTheme="minorHAnsi" w:cstheme="minorHAnsi"/>
          <w:lang w:val="en-AU"/>
        </w:rPr>
        <w:t>, 40: 59-65.</w:t>
      </w:r>
      <w:r w:rsidRPr="00EE3E68">
        <w:rPr>
          <w:rFonts w:asciiTheme="minorHAnsi" w:hAnsiTheme="minorHAnsi" w:cstheme="minorHAnsi"/>
          <w:lang w:val="en-AU"/>
        </w:rPr>
        <w:br/>
        <w:t xml:space="preserve">&lt;https://doi.org/10.2307/4066019&gt; </w:t>
      </w:r>
    </w:p>
    <w:p w14:paraId="5CA5A0CA" w14:textId="77777777" w:rsidR="00AB54DA" w:rsidRDefault="00AB54DA" w:rsidP="00AB54DA">
      <w:pPr>
        <w:rPr>
          <w:rFonts w:asciiTheme="minorHAnsi" w:hAnsiTheme="minorHAnsi" w:cstheme="minorHAnsi"/>
          <w:lang w:val="en-AU"/>
        </w:rPr>
      </w:pPr>
      <w:r w:rsidRPr="00EE3E68">
        <w:rPr>
          <w:rFonts w:asciiTheme="minorHAnsi" w:hAnsiTheme="minorHAnsi" w:cstheme="minorHAnsi"/>
          <w:lang w:val="en-AU"/>
        </w:rPr>
        <w:t xml:space="preserve">Marshall, T.H. (1950) </w:t>
      </w:r>
      <w:r w:rsidRPr="00EE3E68">
        <w:rPr>
          <w:rFonts w:asciiTheme="minorHAnsi" w:hAnsiTheme="minorHAnsi" w:cstheme="minorHAnsi"/>
          <w:i/>
          <w:iCs/>
          <w:lang w:val="en-AU"/>
        </w:rPr>
        <w:t>Citizenship and Social Class and other essays</w:t>
      </w:r>
      <w:r w:rsidRPr="00EE3E68">
        <w:rPr>
          <w:rFonts w:asciiTheme="minorHAnsi" w:hAnsiTheme="minorHAnsi" w:cstheme="minorHAnsi"/>
          <w:lang w:val="en-AU"/>
        </w:rPr>
        <w:t>, University Press: Cambridge.</w:t>
      </w:r>
    </w:p>
    <w:p w14:paraId="59164C8F" w14:textId="77777777" w:rsidR="00AB54DA" w:rsidRPr="00EE3E68" w:rsidRDefault="00AB54DA" w:rsidP="00AB54DA">
      <w:pPr>
        <w:rPr>
          <w:rFonts w:asciiTheme="minorHAnsi" w:hAnsiTheme="minorHAnsi" w:cstheme="minorHAnsi"/>
          <w:lang w:val="en-AU"/>
        </w:rPr>
      </w:pPr>
      <w:r w:rsidRPr="00EE3E68">
        <w:rPr>
          <w:rFonts w:asciiTheme="minorHAnsi" w:hAnsiTheme="minorHAnsi" w:cstheme="minorHAnsi"/>
          <w:lang w:val="en-AU"/>
        </w:rPr>
        <w:lastRenderedPageBreak/>
        <w:t xml:space="preserve">Melbourne Institute of Applied Economic and Social Research (Melbourne Institute) (2022) </w:t>
      </w:r>
      <w:r w:rsidRPr="00EE3E68">
        <w:rPr>
          <w:rFonts w:asciiTheme="minorHAnsi" w:hAnsiTheme="minorHAnsi" w:cstheme="minorHAnsi"/>
          <w:i/>
          <w:iCs/>
          <w:lang w:val="en-AU"/>
        </w:rPr>
        <w:t>Poverty Lines: Australia</w:t>
      </w:r>
      <w:r w:rsidRPr="00EE3E68">
        <w:rPr>
          <w:rFonts w:asciiTheme="minorHAnsi" w:hAnsiTheme="minorHAnsi" w:cstheme="minorHAnsi"/>
          <w:lang w:val="en-AU"/>
        </w:rPr>
        <w:t>, ISSN 1448-0530, June Quarter 2022.</w:t>
      </w:r>
    </w:p>
    <w:p w14:paraId="4783E85C" w14:textId="77777777" w:rsidR="00AB54DA" w:rsidRPr="00EE3E68" w:rsidRDefault="00AB54DA" w:rsidP="00AB54DA">
      <w:pPr>
        <w:rPr>
          <w:rFonts w:asciiTheme="minorHAnsi" w:hAnsiTheme="minorHAnsi" w:cstheme="minorHAnsi"/>
          <w:lang w:val="en-AU"/>
        </w:rPr>
      </w:pPr>
      <w:r w:rsidRPr="00EE3E68">
        <w:rPr>
          <w:rFonts w:asciiTheme="minorHAnsi" w:hAnsiTheme="minorHAnsi" w:cstheme="minorHAnsi"/>
          <w:lang w:val="en-AU"/>
        </w:rPr>
        <w:t xml:space="preserve">United Nations General Assembly (1966) </w:t>
      </w:r>
      <w:r w:rsidRPr="00EE3E68">
        <w:rPr>
          <w:rFonts w:asciiTheme="minorHAnsi" w:hAnsiTheme="minorHAnsi" w:cstheme="minorHAnsi"/>
          <w:i/>
          <w:iCs/>
          <w:lang w:val="en-AU"/>
        </w:rPr>
        <w:t>International Covenant on Economic, Social and Cultural Rights</w:t>
      </w:r>
      <w:r w:rsidRPr="00EE3E68">
        <w:rPr>
          <w:rFonts w:asciiTheme="minorHAnsi" w:hAnsiTheme="minorHAnsi" w:cstheme="minorHAnsi"/>
          <w:lang w:val="en-AU"/>
        </w:rPr>
        <w:t>, Treaty Series, vol. 993, 16 December 1966.</w:t>
      </w:r>
    </w:p>
    <w:p w14:paraId="2A75E62B" w14:textId="77777777" w:rsidR="00AB54DA" w:rsidRPr="00EE3E68" w:rsidRDefault="00AB54DA" w:rsidP="00AB54DA">
      <w:pPr>
        <w:pStyle w:val="FootnoteText"/>
        <w:spacing w:after="200" w:line="276" w:lineRule="auto"/>
        <w:rPr>
          <w:rFonts w:asciiTheme="minorHAnsi" w:hAnsiTheme="minorHAnsi" w:cstheme="minorHAnsi"/>
          <w:sz w:val="24"/>
          <w:szCs w:val="24"/>
          <w:lang w:val="en-AU"/>
        </w:rPr>
      </w:pPr>
      <w:r w:rsidRPr="00EE3E68">
        <w:rPr>
          <w:rFonts w:asciiTheme="minorHAnsi" w:hAnsiTheme="minorHAnsi" w:cstheme="minorHAnsi"/>
          <w:sz w:val="24"/>
          <w:szCs w:val="24"/>
          <w:lang w:val="en-AU"/>
        </w:rPr>
        <w:t xml:space="preserve">United Nations (2006) </w:t>
      </w:r>
      <w:r w:rsidRPr="00EE3E68">
        <w:rPr>
          <w:rFonts w:asciiTheme="minorHAnsi" w:hAnsiTheme="minorHAnsi" w:cstheme="minorHAnsi"/>
          <w:i/>
          <w:iCs/>
          <w:sz w:val="24"/>
          <w:szCs w:val="24"/>
          <w:lang w:val="en-AU"/>
        </w:rPr>
        <w:t>Convention on the Rights of Persons with Disabilities</w:t>
      </w:r>
      <w:r w:rsidRPr="00EE3E68">
        <w:rPr>
          <w:rFonts w:asciiTheme="minorHAnsi" w:hAnsiTheme="minorHAnsi" w:cstheme="minorHAnsi"/>
          <w:sz w:val="24"/>
          <w:szCs w:val="24"/>
          <w:lang w:val="en-AU"/>
        </w:rPr>
        <w:t>, Treaty Series, vol. 2515, Dec. 2006.</w:t>
      </w:r>
    </w:p>
    <w:p w14:paraId="080BC3CF" w14:textId="77777777" w:rsidR="00AB54DA" w:rsidRDefault="00AB54DA" w:rsidP="00AB54DA"/>
    <w:p w14:paraId="4EAB6058" w14:textId="7E5420A4" w:rsidR="006402B7" w:rsidRPr="00D24885" w:rsidRDefault="006402B7" w:rsidP="007B42FF">
      <w:pPr>
        <w:pStyle w:val="NoSpacing"/>
        <w:rPr>
          <w:rFonts w:asciiTheme="minorHAnsi" w:hAnsiTheme="minorHAnsi" w:cstheme="minorHAnsi"/>
          <w:sz w:val="24"/>
          <w:szCs w:val="24"/>
          <w:lang w:val="en-AU" w:eastAsia="zh-CN"/>
        </w:rPr>
      </w:pPr>
    </w:p>
    <w:sectPr w:rsidR="006402B7" w:rsidRPr="00D24885" w:rsidSect="00BE772D">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F9BF" w14:textId="77777777" w:rsidR="00D866C1" w:rsidRDefault="00D866C1" w:rsidP="0043611F">
      <w:pPr>
        <w:spacing w:after="0" w:line="240" w:lineRule="auto"/>
      </w:pPr>
      <w:r>
        <w:separator/>
      </w:r>
    </w:p>
  </w:endnote>
  <w:endnote w:type="continuationSeparator" w:id="0">
    <w:p w14:paraId="30F7B985" w14:textId="77777777" w:rsidR="00D866C1" w:rsidRDefault="00D866C1" w:rsidP="0043611F">
      <w:pPr>
        <w:spacing w:after="0" w:line="240" w:lineRule="auto"/>
      </w:pPr>
      <w:r>
        <w:continuationSeparator/>
      </w:r>
    </w:p>
  </w:endnote>
  <w:endnote w:type="continuationNotice" w:id="1">
    <w:p w14:paraId="2EA45185" w14:textId="77777777" w:rsidR="00D866C1" w:rsidRDefault="00D86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2897" w14:textId="77777777" w:rsidR="00636888" w:rsidRDefault="00636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835C" w14:textId="3D40BCDA" w:rsidR="001831B7" w:rsidRDefault="00B2699D">
    <w:pPr>
      <w:pStyle w:val="Footer"/>
    </w:pPr>
    <w:r>
      <w:rPr>
        <w:noProof/>
        <w:lang w:val="en-AU" w:eastAsia="en-AU"/>
      </w:rPr>
      <mc:AlternateContent>
        <mc:Choice Requires="wps">
          <w:drawing>
            <wp:anchor distT="0" distB="0" distL="114300" distR="114300" simplePos="0" relativeHeight="251657728" behindDoc="0" locked="0" layoutInCell="1" allowOverlap="1" wp14:anchorId="6A5977A5" wp14:editId="7FBE8AF7">
              <wp:simplePos x="0" y="0"/>
              <wp:positionH relativeFrom="page">
                <wp:align>left</wp:align>
              </wp:positionH>
              <wp:positionV relativeFrom="paragraph">
                <wp:posOffset>86784</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0E7FB8AC" w14:textId="77777777" w:rsidR="001F2279" w:rsidRPr="008D462E" w:rsidRDefault="0043611F" w:rsidP="0043611F">
                          <w:pPr>
                            <w:tabs>
                              <w:tab w:val="left" w:pos="11340"/>
                            </w:tabs>
                            <w:ind w:right="1110"/>
                            <w:jc w:val="center"/>
                            <w:rPr>
                              <w:rFonts w:asciiTheme="minorHAnsi" w:hAnsiTheme="minorHAnsi" w:cstheme="minorHAnsi"/>
                              <w:sz w:val="20"/>
                              <w:szCs w:val="20"/>
                            </w:rPr>
                          </w:pPr>
                          <w:r w:rsidRPr="008D462E">
                            <w:rPr>
                              <w:rFonts w:asciiTheme="minorHAnsi" w:hAnsiTheme="minorHAnsi" w:cstheme="minorHAnsi"/>
                              <w:sz w:val="20"/>
                              <w:szCs w:val="20"/>
                            </w:rPr>
                            <w:t xml:space="preserve">Page </w:t>
                          </w:r>
                          <w:r w:rsidRPr="008D462E">
                            <w:rPr>
                              <w:rFonts w:asciiTheme="minorHAnsi" w:hAnsiTheme="minorHAnsi" w:cstheme="minorHAnsi"/>
                              <w:sz w:val="20"/>
                              <w:szCs w:val="20"/>
                            </w:rPr>
                            <w:fldChar w:fldCharType="begin"/>
                          </w:r>
                          <w:r w:rsidRPr="008D462E">
                            <w:rPr>
                              <w:rFonts w:asciiTheme="minorHAnsi" w:hAnsiTheme="minorHAnsi" w:cstheme="minorHAnsi"/>
                              <w:sz w:val="20"/>
                              <w:szCs w:val="20"/>
                            </w:rPr>
                            <w:instrText xml:space="preserve"> PAGE   \* MERGEFORMAT </w:instrText>
                          </w:r>
                          <w:r w:rsidRPr="008D462E">
                            <w:rPr>
                              <w:rFonts w:asciiTheme="minorHAnsi" w:hAnsiTheme="minorHAnsi" w:cstheme="minorHAnsi"/>
                              <w:sz w:val="20"/>
                              <w:szCs w:val="20"/>
                            </w:rPr>
                            <w:fldChar w:fldCharType="separate"/>
                          </w:r>
                          <w:r>
                            <w:rPr>
                              <w:rFonts w:asciiTheme="minorHAnsi" w:hAnsiTheme="minorHAnsi" w:cstheme="minorHAnsi"/>
                              <w:sz w:val="20"/>
                              <w:szCs w:val="20"/>
                            </w:rPr>
                            <w:t>2</w:t>
                          </w:r>
                          <w:r w:rsidRPr="008D462E">
                            <w:rPr>
                              <w:rFonts w:asciiTheme="minorHAnsi" w:hAnsiTheme="minorHAnsi" w:cstheme="minorHAnsi"/>
                              <w:noProof/>
                              <w:sz w:val="20"/>
                              <w:szCs w:val="20"/>
                            </w:rPr>
                            <w:fldChar w:fldCharType="end"/>
                          </w:r>
                          <w:r w:rsidRPr="008D462E">
                            <w:rPr>
                              <w:rFonts w:asciiTheme="minorHAnsi" w:hAnsiTheme="minorHAnsi" w:cstheme="minorHAnsi"/>
                              <w:noProof/>
                              <w:sz w:val="20"/>
                              <w:szCs w:val="20"/>
                            </w:rPr>
                            <w:t xml:space="preserve"> of </w:t>
                          </w:r>
                          <w:r w:rsidRPr="008D462E">
                            <w:rPr>
                              <w:rFonts w:asciiTheme="minorHAnsi" w:hAnsiTheme="minorHAnsi" w:cstheme="minorHAnsi"/>
                              <w:noProof/>
                              <w:sz w:val="20"/>
                              <w:szCs w:val="20"/>
                            </w:rPr>
                            <w:fldChar w:fldCharType="begin"/>
                          </w:r>
                          <w:r w:rsidRPr="008D462E">
                            <w:rPr>
                              <w:rFonts w:asciiTheme="minorHAnsi" w:hAnsiTheme="minorHAnsi" w:cstheme="minorHAnsi"/>
                              <w:noProof/>
                              <w:sz w:val="20"/>
                              <w:szCs w:val="20"/>
                            </w:rPr>
                            <w:instrText xml:space="preserve"> NUMPAGES   \* MERGEFORMAT </w:instrText>
                          </w:r>
                          <w:r w:rsidRPr="008D462E">
                            <w:rPr>
                              <w:rFonts w:asciiTheme="minorHAnsi" w:hAnsiTheme="minorHAnsi" w:cstheme="minorHAnsi"/>
                              <w:noProof/>
                              <w:sz w:val="20"/>
                              <w:szCs w:val="20"/>
                            </w:rPr>
                            <w:fldChar w:fldCharType="separate"/>
                          </w:r>
                          <w:r>
                            <w:rPr>
                              <w:rFonts w:asciiTheme="minorHAnsi" w:hAnsiTheme="minorHAnsi" w:cstheme="minorHAnsi"/>
                              <w:noProof/>
                              <w:sz w:val="20"/>
                              <w:szCs w:val="20"/>
                            </w:rPr>
                            <w:t>7</w:t>
                          </w:r>
                          <w:r w:rsidRPr="008D462E">
                            <w:rPr>
                              <w:rFonts w:asciiTheme="minorHAnsi" w:hAnsiTheme="minorHAnsi" w:cstheme="minorHAnsi"/>
                              <w:noProof/>
                              <w:sz w:val="20"/>
                              <w:szCs w:val="20"/>
                            </w:rPr>
                            <w:fldChar w:fldCharType="end"/>
                          </w:r>
                        </w:p>
                        <w:p w14:paraId="54DC4D9D" w14:textId="77777777" w:rsidR="001831B7" w:rsidRPr="00EE0521" w:rsidRDefault="00000000"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977A5" id="Rectangle 12" o:spid="_x0000_s1026" alt="Decorative element" style="position:absolute;margin-left:0;margin-top:6.85pt;width:637.25pt;height:21.4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" fillcolor="#41190b" stroked="f">
              <v:textbox>
                <w:txbxContent>
                  <w:p w14:paraId="0E7FB8AC" w14:textId="77777777" w:rsidR="001F2279" w:rsidRPr="008D462E" w:rsidRDefault="0043611F" w:rsidP="0043611F">
                    <w:pPr>
                      <w:tabs>
                        <w:tab w:val="left" w:pos="11340"/>
                      </w:tabs>
                      <w:ind w:right="1110"/>
                      <w:jc w:val="center"/>
                      <w:rPr>
                        <w:rFonts w:asciiTheme="minorHAnsi" w:hAnsiTheme="minorHAnsi" w:cstheme="minorHAnsi"/>
                        <w:sz w:val="20"/>
                        <w:szCs w:val="20"/>
                      </w:rPr>
                    </w:pPr>
                    <w:r w:rsidRPr="008D462E">
                      <w:rPr>
                        <w:rFonts w:asciiTheme="minorHAnsi" w:hAnsiTheme="minorHAnsi" w:cstheme="minorHAnsi"/>
                        <w:sz w:val="20"/>
                        <w:szCs w:val="20"/>
                      </w:rPr>
                      <w:t xml:space="preserve">Page </w:t>
                    </w:r>
                    <w:r w:rsidRPr="008D462E">
                      <w:rPr>
                        <w:rFonts w:asciiTheme="minorHAnsi" w:hAnsiTheme="minorHAnsi" w:cstheme="minorHAnsi"/>
                        <w:sz w:val="20"/>
                        <w:szCs w:val="20"/>
                      </w:rPr>
                      <w:fldChar w:fldCharType="begin"/>
                    </w:r>
                    <w:r w:rsidRPr="008D462E">
                      <w:rPr>
                        <w:rFonts w:asciiTheme="minorHAnsi" w:hAnsiTheme="minorHAnsi" w:cstheme="minorHAnsi"/>
                        <w:sz w:val="20"/>
                        <w:szCs w:val="20"/>
                      </w:rPr>
                      <w:instrText xml:space="preserve"> PAGE   \* MERGEFORMAT </w:instrText>
                    </w:r>
                    <w:r w:rsidRPr="008D462E">
                      <w:rPr>
                        <w:rFonts w:asciiTheme="minorHAnsi" w:hAnsiTheme="minorHAnsi" w:cstheme="minorHAnsi"/>
                        <w:sz w:val="20"/>
                        <w:szCs w:val="20"/>
                      </w:rPr>
                      <w:fldChar w:fldCharType="separate"/>
                    </w:r>
                    <w:r>
                      <w:rPr>
                        <w:rFonts w:asciiTheme="minorHAnsi" w:hAnsiTheme="minorHAnsi" w:cstheme="minorHAnsi"/>
                        <w:sz w:val="20"/>
                        <w:szCs w:val="20"/>
                      </w:rPr>
                      <w:t>2</w:t>
                    </w:r>
                    <w:r w:rsidRPr="008D462E">
                      <w:rPr>
                        <w:rFonts w:asciiTheme="minorHAnsi" w:hAnsiTheme="minorHAnsi" w:cstheme="minorHAnsi"/>
                        <w:noProof/>
                        <w:sz w:val="20"/>
                        <w:szCs w:val="20"/>
                      </w:rPr>
                      <w:fldChar w:fldCharType="end"/>
                    </w:r>
                    <w:r w:rsidRPr="008D462E">
                      <w:rPr>
                        <w:rFonts w:asciiTheme="minorHAnsi" w:hAnsiTheme="minorHAnsi" w:cstheme="minorHAnsi"/>
                        <w:noProof/>
                        <w:sz w:val="20"/>
                        <w:szCs w:val="20"/>
                      </w:rPr>
                      <w:t xml:space="preserve"> of </w:t>
                    </w:r>
                    <w:r w:rsidRPr="008D462E">
                      <w:rPr>
                        <w:rFonts w:asciiTheme="minorHAnsi" w:hAnsiTheme="minorHAnsi" w:cstheme="minorHAnsi"/>
                        <w:noProof/>
                        <w:sz w:val="20"/>
                        <w:szCs w:val="20"/>
                      </w:rPr>
                      <w:fldChar w:fldCharType="begin"/>
                    </w:r>
                    <w:r w:rsidRPr="008D462E">
                      <w:rPr>
                        <w:rFonts w:asciiTheme="minorHAnsi" w:hAnsiTheme="minorHAnsi" w:cstheme="minorHAnsi"/>
                        <w:noProof/>
                        <w:sz w:val="20"/>
                        <w:szCs w:val="20"/>
                      </w:rPr>
                      <w:instrText xml:space="preserve"> NUMPAGES   \* MERGEFORMAT </w:instrText>
                    </w:r>
                    <w:r w:rsidRPr="008D462E">
                      <w:rPr>
                        <w:rFonts w:asciiTheme="minorHAnsi" w:hAnsiTheme="minorHAnsi" w:cstheme="minorHAnsi"/>
                        <w:noProof/>
                        <w:sz w:val="20"/>
                        <w:szCs w:val="20"/>
                      </w:rPr>
                      <w:fldChar w:fldCharType="separate"/>
                    </w:r>
                    <w:r>
                      <w:rPr>
                        <w:rFonts w:asciiTheme="minorHAnsi" w:hAnsiTheme="minorHAnsi" w:cstheme="minorHAnsi"/>
                        <w:noProof/>
                        <w:sz w:val="20"/>
                        <w:szCs w:val="20"/>
                      </w:rPr>
                      <w:t>7</w:t>
                    </w:r>
                    <w:r w:rsidRPr="008D462E">
                      <w:rPr>
                        <w:rFonts w:asciiTheme="minorHAnsi" w:hAnsiTheme="minorHAnsi" w:cstheme="minorHAnsi"/>
                        <w:noProof/>
                        <w:sz w:val="20"/>
                        <w:szCs w:val="20"/>
                      </w:rPr>
                      <w:fldChar w:fldCharType="end"/>
                    </w:r>
                  </w:p>
                  <w:p w14:paraId="54DC4D9D" w14:textId="77777777" w:rsidR="001831B7" w:rsidRPr="00EE0521" w:rsidRDefault="001116AB"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58752" behindDoc="0" locked="0" layoutInCell="1" allowOverlap="1" wp14:anchorId="63774C69" wp14:editId="42DA6824">
              <wp:simplePos x="0" y="0"/>
              <wp:positionH relativeFrom="page">
                <wp:posOffset>-32808</wp:posOffset>
              </wp:positionH>
              <wp:positionV relativeFrom="paragraph">
                <wp:posOffset>330200</wp:posOffset>
              </wp:positionV>
              <wp:extent cx="8228118" cy="1000337"/>
              <wp:effectExtent l="0" t="0" r="1905" b="9525"/>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8118" cy="1000337"/>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82C95" w14:textId="3F5C1386" w:rsidR="00485E53" w:rsidRPr="00485E53" w:rsidRDefault="00AE0FFF" w:rsidP="00485E53">
                          <w:pPr>
                            <w:pStyle w:val="NoSpacing"/>
                            <w:rPr>
                              <w:rFonts w:asciiTheme="minorHAnsi" w:hAnsiTheme="minorHAnsi" w:cstheme="minorHAnsi"/>
                              <w:color w:val="FFFFFF" w:themeColor="background1"/>
                              <w:sz w:val="48"/>
                              <w:szCs w:val="48"/>
                            </w:rPr>
                          </w:pPr>
                          <w:r>
                            <w:rPr>
                              <w:rFonts w:asciiTheme="majorHAnsi" w:eastAsia="Times New Roman" w:hAnsiTheme="majorHAnsi" w:cstheme="majorHAnsi"/>
                              <w:b/>
                              <w:bCs/>
                              <w:color w:val="FFFFFF" w:themeColor="background1"/>
                              <w:kern w:val="28"/>
                              <w:lang w:val="en-AU"/>
                            </w:rPr>
                            <w:t xml:space="preserve">                                         </w:t>
                          </w:r>
                          <w:r w:rsidR="00485E53">
                            <w:rPr>
                              <w:rFonts w:asciiTheme="majorHAnsi" w:eastAsia="Times New Roman" w:hAnsiTheme="majorHAnsi" w:cstheme="majorHAnsi"/>
                              <w:b/>
                              <w:bCs/>
                              <w:color w:val="FFFFFF" w:themeColor="background1"/>
                              <w:kern w:val="28"/>
                              <w:lang w:val="en-AU"/>
                            </w:rPr>
                            <w:t xml:space="preserve">       </w:t>
                          </w:r>
                          <w:r>
                            <w:rPr>
                              <w:rFonts w:asciiTheme="majorHAnsi" w:eastAsia="Times New Roman" w:hAnsiTheme="majorHAnsi" w:cstheme="majorHAnsi"/>
                              <w:b/>
                              <w:bCs/>
                              <w:color w:val="FFFFFF" w:themeColor="background1"/>
                              <w:kern w:val="28"/>
                              <w:lang w:val="en-AU"/>
                            </w:rPr>
                            <w:t xml:space="preserve">               </w:t>
                          </w:r>
                          <w:r w:rsidRPr="00485E53">
                            <w:rPr>
                              <w:rFonts w:asciiTheme="minorHAnsi" w:eastAsia="Times New Roman" w:hAnsiTheme="minorHAnsi" w:cstheme="minorHAnsi"/>
                              <w:b/>
                              <w:bCs/>
                              <w:color w:val="FFFFFF" w:themeColor="background1"/>
                              <w:kern w:val="28"/>
                              <w:lang w:val="en-AU"/>
                            </w:rPr>
                            <w:t xml:space="preserve">       </w:t>
                          </w:r>
                          <w:r w:rsidR="00485E53">
                            <w:rPr>
                              <w:rFonts w:asciiTheme="minorHAnsi" w:eastAsia="Times New Roman" w:hAnsiTheme="minorHAnsi" w:cstheme="minorHAnsi"/>
                              <w:b/>
                              <w:bCs/>
                              <w:color w:val="FFFFFF" w:themeColor="background1"/>
                              <w:kern w:val="28"/>
                              <w:lang w:val="en-AU"/>
                            </w:rPr>
                            <w:t xml:space="preserve">  </w:t>
                          </w:r>
                          <w:r w:rsidRPr="00485E53">
                            <w:rPr>
                              <w:rFonts w:asciiTheme="minorHAnsi" w:eastAsia="Times New Roman" w:hAnsiTheme="minorHAnsi" w:cstheme="minorHAnsi"/>
                              <w:b/>
                              <w:bCs/>
                              <w:color w:val="FFFFFF" w:themeColor="background1"/>
                              <w:kern w:val="28"/>
                              <w:lang w:val="en-AU"/>
                            </w:rPr>
                            <w:t xml:space="preserve">     </w:t>
                          </w:r>
                          <w:r w:rsidR="00485E53" w:rsidRPr="00485E53">
                            <w:rPr>
                              <w:rFonts w:asciiTheme="minorHAnsi" w:hAnsiTheme="minorHAnsi" w:cstheme="minorHAnsi"/>
                              <w:color w:val="FFFFFF" w:themeColor="background1"/>
                            </w:rPr>
                            <w:t>Senate Select Committee on the Cost of Living</w:t>
                          </w:r>
                        </w:p>
                        <w:p w14:paraId="021B0F50" w14:textId="03531644" w:rsidR="000F2A12" w:rsidRPr="000F2A12" w:rsidRDefault="000F2A12" w:rsidP="00AE0FFF">
                          <w:pPr>
                            <w:rPr>
                              <w:rFonts w:asciiTheme="majorHAnsi" w:eastAsia="Times New Roman" w:hAnsiTheme="majorHAnsi" w:cstheme="majorHAnsi"/>
                              <w:b/>
                              <w:bCs/>
                              <w:color w:val="FFFFFF" w:themeColor="background1"/>
                              <w:kern w:val="28"/>
                              <w:sz w:val="22"/>
                              <w:szCs w:val="22"/>
                              <w:lang w:val="en-AU"/>
                            </w:rPr>
                          </w:pPr>
                        </w:p>
                        <w:p w14:paraId="567C6722" w14:textId="77777777" w:rsidR="00C62931" w:rsidRPr="000F2A12" w:rsidRDefault="00000000" w:rsidP="000F2A12">
                          <w:pPr>
                            <w:jc w:val="center"/>
                            <w:rPr>
                              <w:color w:val="FFFFFF" w:themeColor="background1"/>
                              <w:sz w:val="22"/>
                              <w:szCs w:val="22"/>
                              <w:lang w:val="en-AU"/>
                            </w:rPr>
                          </w:pPr>
                        </w:p>
                        <w:p w14:paraId="7D8D553F" w14:textId="77777777" w:rsidR="00FF6DD6" w:rsidRPr="000F2A12" w:rsidRDefault="0043611F" w:rsidP="000F2A12">
                          <w:pPr>
                            <w:jc w:val="center"/>
                            <w:rPr>
                              <w:rStyle w:val="Heading2Char"/>
                              <w:color w:val="FFFFFF" w:themeColor="background1"/>
                              <w:sz w:val="22"/>
                              <w:szCs w:val="22"/>
                            </w:rPr>
                          </w:pPr>
                          <w:r w:rsidRPr="000F2A12">
                            <w:rPr>
                              <w:color w:val="FFFFFF" w:themeColor="background1"/>
                              <w:sz w:val="22"/>
                              <w:szCs w:val="22"/>
                              <w:lang w:val="en-AU"/>
                            </w:rPr>
                            <w:br/>
                          </w:r>
                          <w:r w:rsidRPr="000F2A12">
                            <w:rPr>
                              <w:color w:val="FFFFFF" w:themeColor="background1"/>
                              <w:sz w:val="22"/>
                              <w:szCs w:val="22"/>
                              <w:lang w:val="en-AU"/>
                            </w:rPr>
                            <w:br/>
                          </w:r>
                        </w:p>
                        <w:p w14:paraId="320C402F" w14:textId="77777777" w:rsidR="001831B7" w:rsidRPr="000F2A12" w:rsidRDefault="00000000" w:rsidP="000F2A12">
                          <w:pPr>
                            <w:spacing w:after="0" w:line="240" w:lineRule="auto"/>
                            <w:ind w:left="709" w:right="1390"/>
                            <w:jc w:val="center"/>
                            <w:rPr>
                              <w:color w:val="FFFFFF" w:themeColor="background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74C69" id="Rectangle 11" o:spid="_x0000_s1027" alt="Decorative element" style="position:absolute;margin-left:-2.6pt;margin-top:26pt;width:647.9pt;height:7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" fillcolor="#009690" stroked="f">
              <v:textbox>
                <w:txbxContent>
                  <w:p w14:paraId="1E782C95" w14:textId="3F5C1386" w:rsidR="00485E53" w:rsidRPr="00485E53" w:rsidRDefault="00AE0FFF" w:rsidP="00485E53">
                    <w:pPr>
                      <w:pStyle w:val="NoSpacing"/>
                      <w:rPr>
                        <w:rFonts w:asciiTheme="minorHAnsi" w:hAnsiTheme="minorHAnsi" w:cstheme="minorHAnsi"/>
                        <w:color w:val="FFFFFF" w:themeColor="background1"/>
                        <w:sz w:val="48"/>
                        <w:szCs w:val="48"/>
                      </w:rPr>
                    </w:pPr>
                    <w:r>
                      <w:rPr>
                        <w:rFonts w:asciiTheme="majorHAnsi" w:eastAsia="Times New Roman" w:hAnsiTheme="majorHAnsi" w:cstheme="majorHAnsi"/>
                        <w:b/>
                        <w:bCs/>
                        <w:color w:val="FFFFFF" w:themeColor="background1"/>
                        <w:kern w:val="28"/>
                        <w:lang w:val="en-AU"/>
                      </w:rPr>
                      <w:t xml:space="preserve">                                         </w:t>
                    </w:r>
                    <w:r w:rsidR="00485E53">
                      <w:rPr>
                        <w:rFonts w:asciiTheme="majorHAnsi" w:eastAsia="Times New Roman" w:hAnsiTheme="majorHAnsi" w:cstheme="majorHAnsi"/>
                        <w:b/>
                        <w:bCs/>
                        <w:color w:val="FFFFFF" w:themeColor="background1"/>
                        <w:kern w:val="28"/>
                        <w:lang w:val="en-AU"/>
                      </w:rPr>
                      <w:t xml:space="preserve">       </w:t>
                    </w:r>
                    <w:r>
                      <w:rPr>
                        <w:rFonts w:asciiTheme="majorHAnsi" w:eastAsia="Times New Roman" w:hAnsiTheme="majorHAnsi" w:cstheme="majorHAnsi"/>
                        <w:b/>
                        <w:bCs/>
                        <w:color w:val="FFFFFF" w:themeColor="background1"/>
                        <w:kern w:val="28"/>
                        <w:lang w:val="en-AU"/>
                      </w:rPr>
                      <w:t xml:space="preserve">               </w:t>
                    </w:r>
                    <w:r w:rsidRPr="00485E53">
                      <w:rPr>
                        <w:rFonts w:asciiTheme="minorHAnsi" w:eastAsia="Times New Roman" w:hAnsiTheme="minorHAnsi" w:cstheme="minorHAnsi"/>
                        <w:b/>
                        <w:bCs/>
                        <w:color w:val="FFFFFF" w:themeColor="background1"/>
                        <w:kern w:val="28"/>
                        <w:lang w:val="en-AU"/>
                      </w:rPr>
                      <w:t xml:space="preserve">       </w:t>
                    </w:r>
                    <w:r w:rsidR="00485E53">
                      <w:rPr>
                        <w:rFonts w:asciiTheme="minorHAnsi" w:eastAsia="Times New Roman" w:hAnsiTheme="minorHAnsi" w:cstheme="minorHAnsi"/>
                        <w:b/>
                        <w:bCs/>
                        <w:color w:val="FFFFFF" w:themeColor="background1"/>
                        <w:kern w:val="28"/>
                        <w:lang w:val="en-AU"/>
                      </w:rPr>
                      <w:t xml:space="preserve">  </w:t>
                    </w:r>
                    <w:r w:rsidRPr="00485E53">
                      <w:rPr>
                        <w:rFonts w:asciiTheme="minorHAnsi" w:eastAsia="Times New Roman" w:hAnsiTheme="minorHAnsi" w:cstheme="minorHAnsi"/>
                        <w:b/>
                        <w:bCs/>
                        <w:color w:val="FFFFFF" w:themeColor="background1"/>
                        <w:kern w:val="28"/>
                        <w:lang w:val="en-AU"/>
                      </w:rPr>
                      <w:t xml:space="preserve">     </w:t>
                    </w:r>
                    <w:r w:rsidR="00485E53" w:rsidRPr="00485E53">
                      <w:rPr>
                        <w:rFonts w:asciiTheme="minorHAnsi" w:hAnsiTheme="minorHAnsi" w:cstheme="minorHAnsi"/>
                        <w:color w:val="FFFFFF" w:themeColor="background1"/>
                      </w:rPr>
                      <w:t>Senate Select Committee on the Cost of Living</w:t>
                    </w:r>
                  </w:p>
                  <w:p w14:paraId="021B0F50" w14:textId="03531644" w:rsidR="000F2A12" w:rsidRPr="000F2A12" w:rsidRDefault="000F2A12" w:rsidP="00AE0FFF">
                    <w:pPr>
                      <w:rPr>
                        <w:rFonts w:asciiTheme="majorHAnsi" w:eastAsia="Times New Roman" w:hAnsiTheme="majorHAnsi" w:cstheme="majorHAnsi"/>
                        <w:b/>
                        <w:bCs/>
                        <w:color w:val="FFFFFF" w:themeColor="background1"/>
                        <w:kern w:val="28"/>
                        <w:sz w:val="22"/>
                        <w:szCs w:val="22"/>
                        <w:lang w:val="en-AU"/>
                      </w:rPr>
                    </w:pPr>
                  </w:p>
                  <w:p w14:paraId="567C6722" w14:textId="77777777" w:rsidR="00C62931" w:rsidRPr="000F2A12" w:rsidRDefault="001116AB" w:rsidP="000F2A12">
                    <w:pPr>
                      <w:jc w:val="center"/>
                      <w:rPr>
                        <w:color w:val="FFFFFF" w:themeColor="background1"/>
                        <w:sz w:val="22"/>
                        <w:szCs w:val="22"/>
                        <w:lang w:val="en-AU"/>
                      </w:rPr>
                    </w:pPr>
                  </w:p>
                  <w:p w14:paraId="7D8D553F" w14:textId="77777777" w:rsidR="00FF6DD6" w:rsidRPr="000F2A12" w:rsidRDefault="0043611F" w:rsidP="000F2A12">
                    <w:pPr>
                      <w:jc w:val="center"/>
                      <w:rPr>
                        <w:rStyle w:val="Heading2Char"/>
                        <w:color w:val="FFFFFF" w:themeColor="background1"/>
                        <w:sz w:val="22"/>
                        <w:szCs w:val="22"/>
                      </w:rPr>
                    </w:pPr>
                    <w:r w:rsidRPr="000F2A12">
                      <w:rPr>
                        <w:color w:val="FFFFFF" w:themeColor="background1"/>
                        <w:sz w:val="22"/>
                        <w:szCs w:val="22"/>
                        <w:lang w:val="en-AU"/>
                      </w:rPr>
                      <w:br/>
                    </w:r>
                    <w:r w:rsidRPr="000F2A12">
                      <w:rPr>
                        <w:color w:val="FFFFFF" w:themeColor="background1"/>
                        <w:sz w:val="22"/>
                        <w:szCs w:val="22"/>
                        <w:lang w:val="en-AU"/>
                      </w:rPr>
                      <w:br/>
                    </w:r>
                  </w:p>
                  <w:p w14:paraId="320C402F" w14:textId="77777777" w:rsidR="001831B7" w:rsidRPr="000F2A12" w:rsidRDefault="001116AB" w:rsidP="000F2A12">
                    <w:pPr>
                      <w:spacing w:after="0" w:line="240" w:lineRule="auto"/>
                      <w:ind w:left="709" w:right="1390"/>
                      <w:jc w:val="center"/>
                      <w:rPr>
                        <w:color w:val="FFFFFF" w:themeColor="background1"/>
                        <w:sz w:val="22"/>
                        <w:szCs w:val="22"/>
                      </w:rP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6F43" w14:textId="77777777" w:rsidR="00942A9F" w:rsidRPr="009F1A6D" w:rsidRDefault="0043611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Pr>
        <w:noProof/>
        <w:sz w:val="28"/>
        <w:szCs w:val="28"/>
      </w:rPr>
      <w:t>5</w:t>
    </w:r>
    <w:r w:rsidRPr="009F1A6D">
      <w:rPr>
        <w:noProof/>
        <w:sz w:val="28"/>
        <w:szCs w:val="28"/>
      </w:rPr>
      <w:fldChar w:fldCharType="end"/>
    </w:r>
  </w:p>
  <w:p w14:paraId="266C52D4" w14:textId="77777777" w:rsidR="00942A9F" w:rsidRDefault="0043611F" w:rsidP="004D6D08">
    <w:pPr>
      <w:pStyle w:val="Footer"/>
      <w:tabs>
        <w:tab w:val="right" w:pos="9639"/>
      </w:tabs>
    </w:pPr>
    <w:r>
      <w:rPr>
        <w:noProof/>
        <w:lang w:val="en-AU" w:eastAsia="en-AU"/>
      </w:rPr>
      <mc:AlternateContent>
        <mc:Choice Requires="wps">
          <w:drawing>
            <wp:anchor distT="0" distB="0" distL="114300" distR="114300" simplePos="0" relativeHeight="251655680" behindDoc="0" locked="0" layoutInCell="1" allowOverlap="1" wp14:anchorId="1508C4BC" wp14:editId="0C7026F5">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CB806" id="Rectangle 11" o:spid="_x0000_s1026" alt="Decorative element" style="position:absolute;margin-left:-86.6pt;margin-top:32.25pt;width:637.25pt;height:6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val="en-AU" w:eastAsia="en-AU"/>
      </w:rPr>
      <mc:AlternateContent>
        <mc:Choice Requires="wps">
          <w:drawing>
            <wp:anchor distT="0" distB="0" distL="114300" distR="114300" simplePos="0" relativeHeight="251656704" behindDoc="0" locked="0" layoutInCell="1" allowOverlap="1" wp14:anchorId="4593437E" wp14:editId="3D912558">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4F7FD" id="Rectangle 12" o:spid="_x0000_s1026" alt="Decorative element" style="position:absolute;margin-left:-86.7pt;margin-top:18.8pt;width:637.25pt;height: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F14B" w14:textId="77777777" w:rsidR="00D866C1" w:rsidRDefault="00D866C1" w:rsidP="0043611F">
      <w:pPr>
        <w:spacing w:after="0" w:line="240" w:lineRule="auto"/>
      </w:pPr>
      <w:r>
        <w:separator/>
      </w:r>
    </w:p>
  </w:footnote>
  <w:footnote w:type="continuationSeparator" w:id="0">
    <w:p w14:paraId="6A9E322E" w14:textId="77777777" w:rsidR="00D866C1" w:rsidRDefault="00D866C1" w:rsidP="0043611F">
      <w:pPr>
        <w:spacing w:after="0" w:line="240" w:lineRule="auto"/>
      </w:pPr>
      <w:r>
        <w:continuationSeparator/>
      </w:r>
    </w:p>
  </w:footnote>
  <w:footnote w:type="continuationNotice" w:id="1">
    <w:p w14:paraId="31085F38" w14:textId="77777777" w:rsidR="00D866C1" w:rsidRDefault="00D866C1">
      <w:pPr>
        <w:spacing w:after="0" w:line="240" w:lineRule="auto"/>
      </w:pPr>
    </w:p>
  </w:footnote>
  <w:footnote w:id="2">
    <w:p w14:paraId="0EBCA262" w14:textId="03BB8FA7" w:rsidR="008C49E2" w:rsidRPr="00FE452F" w:rsidRDefault="008C49E2" w:rsidP="008C49E2">
      <w:pPr>
        <w:pStyle w:val="FootnoteText"/>
        <w:rPr>
          <w:rFonts w:asciiTheme="minorHAnsi" w:hAnsiTheme="minorHAnsi" w:cstheme="minorHAnsi"/>
        </w:rPr>
      </w:pPr>
      <w:r w:rsidRPr="00FE452F">
        <w:rPr>
          <w:rStyle w:val="FootnoteReference"/>
          <w:rFonts w:asciiTheme="minorHAnsi" w:hAnsiTheme="minorHAnsi" w:cstheme="minorHAnsi"/>
        </w:rPr>
        <w:footnoteRef/>
      </w:r>
      <w:r w:rsidRPr="00FE452F">
        <w:rPr>
          <w:rFonts w:asciiTheme="minorHAnsi" w:hAnsiTheme="minorHAnsi" w:cstheme="minorHAnsi"/>
        </w:rPr>
        <w:t xml:space="preserve"> Davidson et al. 202</w:t>
      </w:r>
      <w:r w:rsidR="00A91DA4">
        <w:rPr>
          <w:rFonts w:asciiTheme="minorHAnsi" w:hAnsiTheme="minorHAnsi" w:cstheme="minorHAnsi"/>
        </w:rPr>
        <w:t>0</w:t>
      </w:r>
      <w:r w:rsidRPr="00FE452F">
        <w:rPr>
          <w:rFonts w:asciiTheme="minorHAnsi" w:hAnsiTheme="minorHAnsi" w:cstheme="minorHAnsi"/>
        </w:rPr>
        <w:t>.</w:t>
      </w:r>
    </w:p>
  </w:footnote>
  <w:footnote w:id="3">
    <w:p w14:paraId="75AE3E20" w14:textId="4A020E55" w:rsidR="008C49E2" w:rsidRPr="00FE452F" w:rsidRDefault="008C49E2" w:rsidP="008C49E2">
      <w:pPr>
        <w:pStyle w:val="FootnoteText"/>
        <w:rPr>
          <w:rFonts w:asciiTheme="minorHAnsi" w:hAnsiTheme="minorHAnsi" w:cstheme="minorHAnsi"/>
        </w:rPr>
      </w:pPr>
      <w:r w:rsidRPr="00FE452F">
        <w:rPr>
          <w:rStyle w:val="FootnoteReference"/>
          <w:rFonts w:asciiTheme="minorHAnsi" w:hAnsiTheme="minorHAnsi" w:cstheme="minorHAnsi"/>
        </w:rPr>
        <w:footnoteRef/>
      </w:r>
      <w:r w:rsidRPr="00FE452F">
        <w:rPr>
          <w:rFonts w:asciiTheme="minorHAnsi" w:hAnsiTheme="minorHAnsi" w:cstheme="minorHAnsi"/>
        </w:rPr>
        <w:t xml:space="preserve"> ABS 2018.</w:t>
      </w:r>
    </w:p>
  </w:footnote>
  <w:footnote w:id="4">
    <w:p w14:paraId="38923821" w14:textId="1459DA63" w:rsidR="008C49E2" w:rsidRPr="00FE452F" w:rsidRDefault="008C49E2" w:rsidP="008C49E2">
      <w:pPr>
        <w:pStyle w:val="FootnoteText"/>
        <w:rPr>
          <w:rFonts w:asciiTheme="minorHAnsi" w:hAnsiTheme="minorHAnsi" w:cstheme="minorHAnsi"/>
        </w:rPr>
      </w:pPr>
      <w:r w:rsidRPr="00FE452F">
        <w:rPr>
          <w:rStyle w:val="FootnoteReference"/>
          <w:rFonts w:asciiTheme="minorHAnsi" w:hAnsiTheme="minorHAnsi" w:cstheme="minorHAnsi"/>
        </w:rPr>
        <w:footnoteRef/>
      </w:r>
      <w:r w:rsidRPr="00FE452F">
        <w:rPr>
          <w:rFonts w:asciiTheme="minorHAnsi" w:hAnsiTheme="minorHAnsi" w:cstheme="minorHAnsi"/>
        </w:rPr>
        <w:t xml:space="preserve"> Davidson et al. 202</w:t>
      </w:r>
      <w:r w:rsidR="00A91DA4">
        <w:rPr>
          <w:rFonts w:asciiTheme="minorHAnsi" w:hAnsiTheme="minorHAnsi" w:cstheme="minorHAnsi"/>
        </w:rPr>
        <w:t>0</w:t>
      </w:r>
      <w:r w:rsidRPr="00FE452F">
        <w:rPr>
          <w:rFonts w:asciiTheme="minorHAnsi" w:hAnsiTheme="minorHAnsi" w:cstheme="minorHAnsi"/>
        </w:rPr>
        <w:t>, 16.</w:t>
      </w:r>
    </w:p>
  </w:footnote>
  <w:footnote w:id="5">
    <w:p w14:paraId="5C80100B" w14:textId="77777777" w:rsidR="008C49E2" w:rsidRPr="00FE452F" w:rsidRDefault="008C49E2" w:rsidP="008C49E2">
      <w:pPr>
        <w:pStyle w:val="FootnoteText"/>
      </w:pPr>
      <w:r w:rsidRPr="00FE452F">
        <w:rPr>
          <w:rStyle w:val="FootnoteReference"/>
          <w:rFonts w:asciiTheme="minorHAnsi" w:hAnsiTheme="minorHAnsi" w:cstheme="minorHAnsi"/>
        </w:rPr>
        <w:footnoteRef/>
      </w:r>
      <w:r w:rsidRPr="00FE452F">
        <w:rPr>
          <w:rFonts w:asciiTheme="minorHAnsi" w:hAnsiTheme="minorHAnsi" w:cstheme="minorHAnsi"/>
        </w:rPr>
        <w:t xml:space="preserve"> </w:t>
      </w:r>
      <w:r w:rsidRPr="00FE452F">
        <w:rPr>
          <w:rFonts w:asciiTheme="minorHAnsi" w:hAnsiTheme="minorHAnsi" w:cstheme="minorHAnsi"/>
        </w:rPr>
        <w:t>Devandas Aguilar 2015.</w:t>
      </w:r>
    </w:p>
  </w:footnote>
  <w:footnote w:id="6">
    <w:p w14:paraId="46A3EE53" w14:textId="77777777" w:rsidR="00A6629D" w:rsidRPr="00DC4D98" w:rsidRDefault="00A6629D" w:rsidP="00A6629D">
      <w:pPr>
        <w:pStyle w:val="FootnoteText"/>
        <w:rPr>
          <w:rFonts w:asciiTheme="minorHAnsi" w:hAnsiTheme="minorHAnsi" w:cstheme="minorHAnsi"/>
        </w:rPr>
      </w:pPr>
      <w:r w:rsidRPr="00DC4D98">
        <w:rPr>
          <w:rStyle w:val="FootnoteReference"/>
          <w:rFonts w:asciiTheme="minorHAnsi" w:hAnsiTheme="minorHAnsi" w:cstheme="minorHAnsi"/>
        </w:rPr>
        <w:footnoteRef/>
      </w:r>
      <w:r w:rsidRPr="00DC4D98">
        <w:rPr>
          <w:rFonts w:asciiTheme="minorHAnsi" w:hAnsiTheme="minorHAnsi" w:cstheme="minorHAnsi"/>
        </w:rPr>
        <w:t xml:space="preserve"> John et al. 2019.</w:t>
      </w:r>
    </w:p>
  </w:footnote>
  <w:footnote w:id="7">
    <w:p w14:paraId="19FAC876" w14:textId="77777777" w:rsidR="00A6629D" w:rsidRDefault="00A6629D" w:rsidP="00A6629D">
      <w:pPr>
        <w:pStyle w:val="FootnoteText"/>
      </w:pPr>
      <w:r w:rsidRPr="00DC4D98">
        <w:rPr>
          <w:rStyle w:val="FootnoteReference"/>
          <w:rFonts w:asciiTheme="minorHAnsi" w:hAnsiTheme="minorHAnsi" w:cstheme="minorHAnsi"/>
        </w:rPr>
        <w:footnoteRef/>
      </w:r>
      <w:r w:rsidRPr="00DC4D98">
        <w:rPr>
          <w:rFonts w:asciiTheme="minorHAnsi" w:hAnsiTheme="minorHAnsi" w:cstheme="minorHAnsi"/>
        </w:rPr>
        <w:t xml:space="preserve"> Li et al. 2019.</w:t>
      </w:r>
    </w:p>
  </w:footnote>
  <w:footnote w:id="8">
    <w:p w14:paraId="1390D102" w14:textId="77777777" w:rsidR="00233959" w:rsidRPr="000C2F12" w:rsidRDefault="00233959" w:rsidP="00233959">
      <w:pPr>
        <w:pStyle w:val="FootnoteText"/>
        <w:rPr>
          <w:rFonts w:asciiTheme="minorHAnsi" w:hAnsiTheme="minorHAnsi" w:cstheme="minorHAnsi"/>
        </w:rPr>
      </w:pPr>
      <w:r w:rsidRPr="000C2F12">
        <w:rPr>
          <w:rStyle w:val="FootnoteReference"/>
          <w:rFonts w:asciiTheme="minorHAnsi" w:hAnsiTheme="minorHAnsi" w:cstheme="minorHAnsi"/>
        </w:rPr>
        <w:footnoteRef/>
      </w:r>
      <w:r w:rsidRPr="000C2F12">
        <w:rPr>
          <w:rFonts w:asciiTheme="minorHAnsi" w:hAnsiTheme="minorHAnsi" w:cstheme="minorHAnsi"/>
        </w:rPr>
        <w:t xml:space="preserve"> Li et al. 2019.</w:t>
      </w:r>
    </w:p>
  </w:footnote>
  <w:footnote w:id="9">
    <w:p w14:paraId="648CBA2A" w14:textId="3E5885CF" w:rsidR="00483AC4" w:rsidRPr="00FE452F" w:rsidRDefault="00483AC4" w:rsidP="00483AC4">
      <w:pPr>
        <w:pStyle w:val="FootnoteText"/>
        <w:rPr>
          <w:rFonts w:asciiTheme="minorHAnsi" w:hAnsiTheme="minorHAnsi" w:cstheme="minorHAnsi"/>
        </w:rPr>
      </w:pPr>
      <w:r w:rsidRPr="00FE452F">
        <w:rPr>
          <w:rStyle w:val="FootnoteReference"/>
          <w:rFonts w:asciiTheme="minorHAnsi" w:hAnsiTheme="minorHAnsi" w:cstheme="minorHAnsi"/>
        </w:rPr>
        <w:footnoteRef/>
      </w:r>
      <w:r w:rsidRPr="00FE452F">
        <w:rPr>
          <w:rFonts w:asciiTheme="minorHAnsi" w:hAnsiTheme="minorHAnsi" w:cstheme="minorHAnsi"/>
        </w:rPr>
        <w:t xml:space="preserve"> Davidson et al. 202</w:t>
      </w:r>
      <w:r w:rsidR="00BB0684">
        <w:rPr>
          <w:rFonts w:asciiTheme="minorHAnsi" w:hAnsiTheme="minorHAnsi" w:cstheme="minorHAnsi"/>
        </w:rPr>
        <w:t>0</w:t>
      </w:r>
      <w:r w:rsidRPr="00FE452F">
        <w:rPr>
          <w:rFonts w:asciiTheme="minorHAnsi" w:hAnsiTheme="minorHAnsi" w:cstheme="minorHAnsi"/>
        </w:rPr>
        <w:t>.</w:t>
      </w:r>
    </w:p>
  </w:footnote>
  <w:footnote w:id="10">
    <w:p w14:paraId="05CED48C" w14:textId="06E374A2" w:rsidR="00483AC4" w:rsidRPr="00FE452F" w:rsidRDefault="00483AC4" w:rsidP="00483AC4">
      <w:pPr>
        <w:pStyle w:val="FootnoteText"/>
        <w:rPr>
          <w:rFonts w:asciiTheme="minorHAnsi" w:hAnsiTheme="minorHAnsi" w:cstheme="minorHAnsi"/>
        </w:rPr>
      </w:pPr>
      <w:r w:rsidRPr="00FE452F">
        <w:rPr>
          <w:rStyle w:val="FootnoteReference"/>
          <w:rFonts w:asciiTheme="minorHAnsi" w:hAnsiTheme="minorHAnsi" w:cstheme="minorHAnsi"/>
        </w:rPr>
        <w:footnoteRef/>
      </w:r>
      <w:r w:rsidRPr="00FE452F">
        <w:rPr>
          <w:rFonts w:asciiTheme="minorHAnsi" w:hAnsiTheme="minorHAnsi" w:cstheme="minorHAnsi"/>
        </w:rPr>
        <w:t xml:space="preserve"> Davidson et al. 202</w:t>
      </w:r>
      <w:r w:rsidR="00BB0684">
        <w:rPr>
          <w:rFonts w:asciiTheme="minorHAnsi" w:hAnsiTheme="minorHAnsi" w:cstheme="minorHAnsi"/>
        </w:rPr>
        <w:t>0</w:t>
      </w:r>
      <w:r w:rsidRPr="00FE452F">
        <w:rPr>
          <w:rFonts w:asciiTheme="minorHAnsi" w:hAnsiTheme="minorHAnsi" w:cstheme="minorHAnsi"/>
        </w:rPr>
        <w:t>.</w:t>
      </w:r>
    </w:p>
  </w:footnote>
  <w:footnote w:id="11">
    <w:p w14:paraId="6ABCB8ED" w14:textId="77777777" w:rsidR="00483AC4" w:rsidRPr="00FE452F" w:rsidRDefault="00483AC4" w:rsidP="00483AC4">
      <w:pPr>
        <w:pStyle w:val="FootnoteText"/>
        <w:rPr>
          <w:rFonts w:asciiTheme="minorHAnsi" w:hAnsiTheme="minorHAnsi" w:cstheme="minorHAnsi"/>
        </w:rPr>
      </w:pPr>
      <w:r w:rsidRPr="00FE452F">
        <w:rPr>
          <w:rStyle w:val="FootnoteReference"/>
          <w:rFonts w:asciiTheme="minorHAnsi" w:hAnsiTheme="minorHAnsi" w:cstheme="minorHAnsi"/>
        </w:rPr>
        <w:footnoteRef/>
      </w:r>
      <w:r w:rsidRPr="00FE452F">
        <w:rPr>
          <w:rFonts w:asciiTheme="minorHAnsi" w:hAnsiTheme="minorHAnsi" w:cstheme="minorHAnsi"/>
        </w:rPr>
        <w:t xml:space="preserve"> Rental stress is defined as rent exceeding 30% of gross household income. </w:t>
      </w:r>
    </w:p>
  </w:footnote>
  <w:footnote w:id="12">
    <w:p w14:paraId="650F5388" w14:textId="77777777" w:rsidR="00483AC4" w:rsidRPr="00FE452F" w:rsidRDefault="00483AC4" w:rsidP="00483AC4">
      <w:pPr>
        <w:pStyle w:val="FootnoteText"/>
        <w:rPr>
          <w:rFonts w:asciiTheme="minorHAnsi" w:hAnsiTheme="minorHAnsi" w:cstheme="minorHAnsi"/>
        </w:rPr>
      </w:pPr>
      <w:r w:rsidRPr="00FE452F">
        <w:rPr>
          <w:rStyle w:val="FootnoteReference"/>
          <w:rFonts w:asciiTheme="minorHAnsi" w:hAnsiTheme="minorHAnsi" w:cstheme="minorHAnsi"/>
        </w:rPr>
        <w:footnoteRef/>
      </w:r>
      <w:r w:rsidRPr="00FE452F">
        <w:rPr>
          <w:rFonts w:asciiTheme="minorHAnsi" w:hAnsiTheme="minorHAnsi" w:cstheme="minorHAnsi"/>
        </w:rPr>
        <w:t xml:space="preserve"> AIHW 2021.</w:t>
      </w:r>
    </w:p>
  </w:footnote>
  <w:footnote w:id="13">
    <w:p w14:paraId="180476C7" w14:textId="77777777" w:rsidR="00483AC4" w:rsidRDefault="00483AC4" w:rsidP="00483AC4">
      <w:pPr>
        <w:pStyle w:val="FootnoteText"/>
      </w:pPr>
      <w:r w:rsidRPr="00FE452F">
        <w:rPr>
          <w:rStyle w:val="FootnoteReference"/>
          <w:rFonts w:asciiTheme="minorHAnsi" w:hAnsiTheme="minorHAnsi" w:cstheme="minorHAnsi"/>
        </w:rPr>
        <w:footnoteRef/>
      </w:r>
      <w:r w:rsidRPr="00FE452F">
        <w:rPr>
          <w:rFonts w:asciiTheme="minorHAnsi" w:hAnsiTheme="minorHAnsi" w:cstheme="minorHAnsi"/>
        </w:rPr>
        <w:t xml:space="preserve"> Anglicare 2021.</w:t>
      </w:r>
    </w:p>
  </w:footnote>
  <w:footnote w:id="14">
    <w:p w14:paraId="7E4D791F" w14:textId="77777777" w:rsidR="00483AC4" w:rsidRPr="002D1100" w:rsidRDefault="00483AC4" w:rsidP="00483AC4">
      <w:pPr>
        <w:pStyle w:val="FootnoteText"/>
        <w:rPr>
          <w:rFonts w:asciiTheme="minorHAnsi" w:hAnsiTheme="minorHAnsi" w:cstheme="minorHAnsi"/>
        </w:rPr>
      </w:pPr>
      <w:r w:rsidRPr="002D1100">
        <w:rPr>
          <w:rStyle w:val="FootnoteReference"/>
          <w:rFonts w:asciiTheme="minorHAnsi" w:hAnsiTheme="minorHAnsi" w:cstheme="minorHAnsi"/>
        </w:rPr>
        <w:footnoteRef/>
      </w:r>
      <w:r w:rsidRPr="002D1100">
        <w:rPr>
          <w:rFonts w:asciiTheme="minorHAnsi" w:hAnsiTheme="minorHAnsi" w:cstheme="minorHAnsi"/>
        </w:rPr>
        <w:t xml:space="preserve"> AIHW 2022b.</w:t>
      </w:r>
    </w:p>
  </w:footnote>
  <w:footnote w:id="15">
    <w:p w14:paraId="7D2C8961" w14:textId="77777777" w:rsidR="00483AC4" w:rsidRPr="002D1100" w:rsidRDefault="00483AC4" w:rsidP="00483AC4">
      <w:pPr>
        <w:pStyle w:val="FootnoteText"/>
        <w:rPr>
          <w:rFonts w:asciiTheme="minorHAnsi" w:hAnsiTheme="minorHAnsi" w:cstheme="minorHAnsi"/>
        </w:rPr>
      </w:pPr>
      <w:r w:rsidRPr="002D1100">
        <w:rPr>
          <w:rStyle w:val="FootnoteReference"/>
          <w:rFonts w:asciiTheme="minorHAnsi" w:hAnsiTheme="minorHAnsi" w:cstheme="minorHAnsi"/>
        </w:rPr>
        <w:footnoteRef/>
      </w:r>
      <w:r w:rsidRPr="002D1100">
        <w:rPr>
          <w:rFonts w:asciiTheme="minorHAnsi" w:hAnsiTheme="minorHAnsi" w:cstheme="minorHAnsi"/>
        </w:rPr>
        <w:t xml:space="preserve"> Ibid.</w:t>
      </w:r>
    </w:p>
  </w:footnote>
  <w:footnote w:id="16">
    <w:p w14:paraId="2408D685" w14:textId="77777777" w:rsidR="00713D5A" w:rsidRPr="000C2F12" w:rsidRDefault="00713D5A" w:rsidP="00713D5A">
      <w:pPr>
        <w:pStyle w:val="FootnoteText"/>
        <w:rPr>
          <w:rFonts w:asciiTheme="minorHAnsi" w:hAnsiTheme="minorHAnsi" w:cstheme="minorHAnsi"/>
        </w:rPr>
      </w:pPr>
      <w:r w:rsidRPr="000C2F12">
        <w:rPr>
          <w:rStyle w:val="FootnoteReference"/>
          <w:rFonts w:asciiTheme="minorHAnsi" w:hAnsiTheme="minorHAnsi" w:cstheme="minorHAnsi"/>
        </w:rPr>
        <w:footnoteRef/>
      </w:r>
      <w:r w:rsidRPr="000C2F12">
        <w:rPr>
          <w:rFonts w:asciiTheme="minorHAnsi" w:hAnsiTheme="minorHAnsi" w:cstheme="minorHAnsi"/>
        </w:rPr>
        <w:t xml:space="preserve"> AIHW 2022a.</w:t>
      </w:r>
    </w:p>
  </w:footnote>
  <w:footnote w:id="17">
    <w:p w14:paraId="021A603F" w14:textId="77777777" w:rsidR="00713D5A" w:rsidRPr="000C2F12" w:rsidRDefault="00713D5A" w:rsidP="00713D5A">
      <w:pPr>
        <w:pStyle w:val="FootnoteText"/>
        <w:rPr>
          <w:rFonts w:asciiTheme="minorHAnsi" w:hAnsiTheme="minorHAnsi" w:cstheme="minorHAnsi"/>
        </w:rPr>
      </w:pPr>
      <w:r w:rsidRPr="000C2F12">
        <w:rPr>
          <w:rStyle w:val="FootnoteReference"/>
          <w:rFonts w:asciiTheme="minorHAnsi" w:hAnsiTheme="minorHAnsi" w:cstheme="minorHAnsi"/>
        </w:rPr>
        <w:footnoteRef/>
      </w:r>
      <w:r w:rsidRPr="000C2F12">
        <w:rPr>
          <w:rFonts w:asciiTheme="minorHAnsi" w:hAnsiTheme="minorHAnsi" w:cstheme="minorHAnsi"/>
        </w:rPr>
        <w:t xml:space="preserve"> Ibid.</w:t>
      </w:r>
    </w:p>
  </w:footnote>
  <w:footnote w:id="18">
    <w:p w14:paraId="48EAFFA4" w14:textId="77777777" w:rsidR="00713D5A" w:rsidRPr="000C2F12" w:rsidRDefault="00713D5A" w:rsidP="00713D5A">
      <w:pPr>
        <w:pStyle w:val="FootnoteText"/>
        <w:rPr>
          <w:rFonts w:asciiTheme="minorHAnsi" w:hAnsiTheme="minorHAnsi" w:cstheme="minorHAnsi"/>
        </w:rPr>
      </w:pPr>
      <w:r w:rsidRPr="000C2F12">
        <w:rPr>
          <w:rStyle w:val="FootnoteReference"/>
          <w:rFonts w:asciiTheme="minorHAnsi" w:hAnsiTheme="minorHAnsi" w:cstheme="minorHAnsi"/>
        </w:rPr>
        <w:footnoteRef/>
      </w:r>
      <w:r w:rsidRPr="000C2F12">
        <w:rPr>
          <w:rFonts w:asciiTheme="minorHAnsi" w:hAnsiTheme="minorHAnsi" w:cstheme="minorHAnsi"/>
        </w:rPr>
        <w:t xml:space="preserve"> Ibid.</w:t>
      </w:r>
    </w:p>
  </w:footnote>
  <w:footnote w:id="19">
    <w:p w14:paraId="7A5E1D9B" w14:textId="77777777" w:rsidR="00713D5A" w:rsidRPr="000C2F12" w:rsidRDefault="00713D5A" w:rsidP="00713D5A">
      <w:pPr>
        <w:pStyle w:val="FootnoteText"/>
        <w:rPr>
          <w:rFonts w:asciiTheme="minorHAnsi" w:hAnsiTheme="minorHAnsi" w:cstheme="minorHAnsi"/>
        </w:rPr>
      </w:pPr>
      <w:r w:rsidRPr="000C2F12">
        <w:rPr>
          <w:rStyle w:val="FootnoteReference"/>
          <w:rFonts w:asciiTheme="minorHAnsi" w:hAnsiTheme="minorHAnsi" w:cstheme="minorHAnsi"/>
        </w:rPr>
        <w:footnoteRef/>
      </w:r>
      <w:r w:rsidRPr="000C2F12">
        <w:rPr>
          <w:rFonts w:asciiTheme="minorHAnsi" w:hAnsiTheme="minorHAnsi" w:cstheme="minorHAnsi"/>
        </w:rPr>
        <w:t xml:space="preserve"> Ibid.</w:t>
      </w:r>
    </w:p>
  </w:footnote>
  <w:footnote w:id="20">
    <w:p w14:paraId="07A2AACA" w14:textId="77777777" w:rsidR="00713D5A" w:rsidRDefault="00713D5A" w:rsidP="00713D5A">
      <w:pPr>
        <w:pStyle w:val="FootnoteText"/>
      </w:pPr>
      <w:r w:rsidRPr="000C2F12">
        <w:rPr>
          <w:rStyle w:val="FootnoteReference"/>
          <w:rFonts w:asciiTheme="minorHAnsi" w:hAnsiTheme="minorHAnsi" w:cstheme="minorHAnsi"/>
        </w:rPr>
        <w:footnoteRef/>
      </w:r>
      <w:r w:rsidRPr="000C2F12">
        <w:rPr>
          <w:rFonts w:asciiTheme="minorHAnsi" w:hAnsiTheme="minorHAnsi" w:cstheme="minorHAnsi"/>
        </w:rPr>
        <w:t xml:space="preserve"> Melbourne Institute 2022.</w:t>
      </w:r>
    </w:p>
  </w:footnote>
  <w:footnote w:id="21">
    <w:p w14:paraId="05B38F03" w14:textId="77777777" w:rsidR="006F6B9F" w:rsidRPr="0043575D" w:rsidRDefault="006F6B9F" w:rsidP="006F6B9F">
      <w:pPr>
        <w:pStyle w:val="FootnoteText"/>
        <w:rPr>
          <w:rFonts w:asciiTheme="minorHAnsi" w:hAnsiTheme="minorHAnsi" w:cstheme="minorHAnsi"/>
        </w:rPr>
      </w:pPr>
      <w:r w:rsidRPr="0043575D">
        <w:rPr>
          <w:rStyle w:val="FootnoteReference"/>
          <w:rFonts w:asciiTheme="minorHAnsi" w:hAnsiTheme="minorHAnsi" w:cstheme="minorHAnsi"/>
        </w:rPr>
        <w:footnoteRef/>
      </w:r>
      <w:r w:rsidRPr="0043575D">
        <w:rPr>
          <w:rFonts w:asciiTheme="minorHAnsi" w:hAnsiTheme="minorHAnsi" w:cstheme="minorHAnsi"/>
        </w:rPr>
        <w:t xml:space="preserve"> UN General Assembly 1966, art. 9, 11; UN 2006, art. 28.</w:t>
      </w:r>
    </w:p>
  </w:footnote>
  <w:footnote w:id="22">
    <w:p w14:paraId="548215E5" w14:textId="77777777" w:rsidR="006F6B9F" w:rsidRPr="0043575D" w:rsidRDefault="006F6B9F" w:rsidP="006F6B9F">
      <w:pPr>
        <w:pStyle w:val="FootnoteText"/>
        <w:rPr>
          <w:rFonts w:asciiTheme="minorHAnsi" w:hAnsiTheme="minorHAnsi" w:cstheme="minorHAnsi"/>
        </w:rPr>
      </w:pPr>
      <w:r w:rsidRPr="0043575D">
        <w:rPr>
          <w:rStyle w:val="FootnoteReference"/>
          <w:rFonts w:asciiTheme="minorHAnsi" w:hAnsiTheme="minorHAnsi" w:cstheme="minorHAnsi"/>
        </w:rPr>
        <w:footnoteRef/>
      </w:r>
      <w:r w:rsidRPr="0043575D">
        <w:rPr>
          <w:rFonts w:asciiTheme="minorHAnsi" w:hAnsiTheme="minorHAnsi" w:cstheme="minorHAnsi"/>
        </w:rPr>
        <w:t xml:space="preserve"> UN 2006, art. 28 (1, 2).</w:t>
      </w:r>
    </w:p>
  </w:footnote>
  <w:footnote w:id="23">
    <w:p w14:paraId="1D8EC7B0" w14:textId="77777777" w:rsidR="006F6B9F" w:rsidRPr="0043575D" w:rsidRDefault="006F6B9F" w:rsidP="006F6B9F">
      <w:pPr>
        <w:pStyle w:val="FootnoteText"/>
        <w:rPr>
          <w:rFonts w:asciiTheme="minorHAnsi" w:hAnsiTheme="minorHAnsi" w:cstheme="minorHAnsi"/>
        </w:rPr>
      </w:pPr>
      <w:r w:rsidRPr="0043575D">
        <w:rPr>
          <w:rStyle w:val="FootnoteReference"/>
          <w:rFonts w:asciiTheme="minorHAnsi" w:hAnsiTheme="minorHAnsi" w:cstheme="minorHAnsi"/>
        </w:rPr>
        <w:footnoteRef/>
      </w:r>
      <w:r w:rsidRPr="0043575D">
        <w:rPr>
          <w:rFonts w:asciiTheme="minorHAnsi" w:hAnsiTheme="minorHAnsi" w:cstheme="minorHAnsi"/>
        </w:rPr>
        <w:t xml:space="preserve"> Ibid art. 28 (2c).  </w:t>
      </w:r>
    </w:p>
  </w:footnote>
  <w:footnote w:id="24">
    <w:p w14:paraId="098F6815" w14:textId="77777777" w:rsidR="006F6B9F" w:rsidRPr="0043575D" w:rsidRDefault="006F6B9F" w:rsidP="006F6B9F">
      <w:pPr>
        <w:pStyle w:val="FootnoteText"/>
        <w:rPr>
          <w:rFonts w:asciiTheme="minorHAnsi" w:hAnsiTheme="minorHAnsi" w:cstheme="minorHAnsi"/>
        </w:rPr>
      </w:pPr>
      <w:r w:rsidRPr="0043575D">
        <w:rPr>
          <w:rStyle w:val="FootnoteReference"/>
          <w:rFonts w:asciiTheme="minorHAnsi" w:hAnsiTheme="minorHAnsi" w:cstheme="minorHAnsi"/>
        </w:rPr>
        <w:footnoteRef/>
      </w:r>
      <w:r w:rsidRPr="0043575D">
        <w:rPr>
          <w:rFonts w:asciiTheme="minorHAnsi" w:hAnsiTheme="minorHAnsi" w:cstheme="minorHAnsi"/>
        </w:rPr>
        <w:t xml:space="preserve"> </w:t>
      </w:r>
      <w:r w:rsidRPr="0043575D">
        <w:rPr>
          <w:rFonts w:asciiTheme="minorHAnsi" w:hAnsiTheme="minorHAnsi" w:cstheme="minorHAnsi"/>
        </w:rPr>
        <w:t>Devandas Aguilar 2015, 4, emphasis added.</w:t>
      </w:r>
    </w:p>
  </w:footnote>
  <w:footnote w:id="25">
    <w:p w14:paraId="5D98A97F" w14:textId="77777777" w:rsidR="006F6B9F" w:rsidRPr="0043575D" w:rsidRDefault="006F6B9F" w:rsidP="006F6B9F">
      <w:pPr>
        <w:pStyle w:val="FootnoteText"/>
        <w:rPr>
          <w:rFonts w:asciiTheme="minorHAnsi" w:hAnsiTheme="minorHAnsi" w:cstheme="minorHAnsi"/>
        </w:rPr>
      </w:pPr>
      <w:r w:rsidRPr="0043575D">
        <w:rPr>
          <w:rStyle w:val="FootnoteReference"/>
          <w:rFonts w:asciiTheme="minorHAnsi" w:hAnsiTheme="minorHAnsi" w:cstheme="minorHAnsi"/>
        </w:rPr>
        <w:footnoteRef/>
      </w:r>
      <w:r w:rsidRPr="0043575D">
        <w:rPr>
          <w:rFonts w:asciiTheme="minorHAnsi" w:hAnsiTheme="minorHAnsi" w:cstheme="minorHAnsi"/>
        </w:rPr>
        <w:t xml:space="preserve"> Ibid., 4.</w:t>
      </w:r>
    </w:p>
  </w:footnote>
  <w:footnote w:id="26">
    <w:p w14:paraId="44AB4BFF" w14:textId="77777777" w:rsidR="006F6B9F" w:rsidRPr="0043575D" w:rsidRDefault="006F6B9F" w:rsidP="006F6B9F">
      <w:pPr>
        <w:pStyle w:val="FootnoteText"/>
        <w:rPr>
          <w:rFonts w:asciiTheme="minorHAnsi" w:hAnsiTheme="minorHAnsi" w:cstheme="minorHAnsi"/>
        </w:rPr>
      </w:pPr>
      <w:r w:rsidRPr="0043575D">
        <w:rPr>
          <w:rStyle w:val="FootnoteReference"/>
          <w:rFonts w:asciiTheme="minorHAnsi" w:hAnsiTheme="minorHAnsi" w:cstheme="minorHAnsi"/>
        </w:rPr>
        <w:footnoteRef/>
      </w:r>
      <w:r w:rsidRPr="0043575D">
        <w:rPr>
          <w:rFonts w:asciiTheme="minorHAnsi" w:hAnsiTheme="minorHAnsi" w:cstheme="minorHAnsi"/>
        </w:rPr>
        <w:t xml:space="preserve"> Ibid., 4.</w:t>
      </w:r>
    </w:p>
  </w:footnote>
  <w:footnote w:id="27">
    <w:p w14:paraId="7A8F4DD3" w14:textId="77777777" w:rsidR="006F6B9F" w:rsidRPr="0043575D" w:rsidRDefault="006F6B9F" w:rsidP="006F6B9F">
      <w:pPr>
        <w:pStyle w:val="FootnoteText"/>
        <w:rPr>
          <w:rFonts w:asciiTheme="minorHAnsi" w:hAnsiTheme="minorHAnsi" w:cstheme="minorHAnsi"/>
        </w:rPr>
      </w:pPr>
      <w:r w:rsidRPr="0043575D">
        <w:rPr>
          <w:rStyle w:val="FootnoteReference"/>
          <w:rFonts w:asciiTheme="minorHAnsi" w:hAnsiTheme="minorHAnsi" w:cstheme="minorHAnsi"/>
        </w:rPr>
        <w:footnoteRef/>
      </w:r>
      <w:r w:rsidRPr="0043575D">
        <w:rPr>
          <w:rFonts w:asciiTheme="minorHAnsi" w:hAnsiTheme="minorHAnsi" w:cstheme="minorHAnsi"/>
        </w:rPr>
        <w:t xml:space="preserve"> Liebenberg 1999, 59. </w:t>
      </w:r>
    </w:p>
  </w:footnote>
  <w:footnote w:id="28">
    <w:p w14:paraId="66A98FD6" w14:textId="77777777" w:rsidR="006F6B9F" w:rsidRDefault="006F6B9F" w:rsidP="006F6B9F">
      <w:pPr>
        <w:pStyle w:val="FootnoteText"/>
      </w:pPr>
      <w:r w:rsidRPr="0043575D">
        <w:rPr>
          <w:rStyle w:val="FootnoteReference"/>
          <w:rFonts w:asciiTheme="minorHAnsi" w:hAnsiTheme="minorHAnsi" w:cstheme="minorHAnsi"/>
        </w:rPr>
        <w:footnoteRef/>
      </w:r>
      <w:r w:rsidRPr="0043575D">
        <w:rPr>
          <w:rFonts w:asciiTheme="minorHAnsi" w:hAnsiTheme="minorHAnsi" w:cstheme="minorHAnsi"/>
        </w:rPr>
        <w:t xml:space="preserve"> Marshall 1950.</w:t>
      </w:r>
    </w:p>
  </w:footnote>
  <w:footnote w:id="29">
    <w:p w14:paraId="11FFEC12" w14:textId="77777777" w:rsidR="006F6B9F" w:rsidRPr="005C73C8" w:rsidRDefault="006F6B9F" w:rsidP="006F6B9F">
      <w:pPr>
        <w:pStyle w:val="FootnoteText"/>
        <w:rPr>
          <w:rFonts w:asciiTheme="minorHAnsi" w:hAnsiTheme="minorHAnsi" w:cstheme="minorHAnsi"/>
        </w:rPr>
      </w:pPr>
      <w:r w:rsidRPr="009B611A">
        <w:rPr>
          <w:rStyle w:val="FootnoteReference"/>
          <w:rFonts w:asciiTheme="minorHAnsi" w:hAnsiTheme="minorHAnsi" w:cstheme="minorHAnsi"/>
        </w:rPr>
        <w:footnoteRef/>
      </w:r>
      <w:r w:rsidRPr="009B611A">
        <w:rPr>
          <w:rFonts w:asciiTheme="minorHAnsi" w:hAnsiTheme="minorHAnsi" w:cstheme="minorHAnsi"/>
        </w:rPr>
        <w:t xml:space="preserve"> Australian Government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92D4" w14:textId="77777777" w:rsidR="00636888" w:rsidRDefault="00636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2010" w14:textId="5FF9C3A1" w:rsidR="00942A9F" w:rsidRPr="00990CB1" w:rsidRDefault="0043611F" w:rsidP="004D6D08">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C178" w14:textId="77777777" w:rsidR="00942A9F" w:rsidRDefault="00000000">
    <w:pPr>
      <w:pStyle w:val="Header"/>
    </w:pPr>
  </w:p>
  <w:p w14:paraId="6C71E1DF" w14:textId="77777777" w:rsidR="00942A9F"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C8C"/>
    <w:multiLevelType w:val="hybridMultilevel"/>
    <w:tmpl w:val="8D184CD6"/>
    <w:lvl w:ilvl="0" w:tplc="2DF6B47C">
      <w:start w:val="4"/>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14DB4"/>
    <w:multiLevelType w:val="hybridMultilevel"/>
    <w:tmpl w:val="7EC49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F2373"/>
    <w:multiLevelType w:val="multilevel"/>
    <w:tmpl w:val="9CEA337C"/>
    <w:styleLink w:val="CurrentList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E4BA3"/>
    <w:multiLevelType w:val="hybridMultilevel"/>
    <w:tmpl w:val="4BEE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A0971"/>
    <w:multiLevelType w:val="hybridMultilevel"/>
    <w:tmpl w:val="A448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333542"/>
    <w:multiLevelType w:val="multilevel"/>
    <w:tmpl w:val="92D684D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77506D"/>
    <w:multiLevelType w:val="hybridMultilevel"/>
    <w:tmpl w:val="72B06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82D59"/>
    <w:multiLevelType w:val="hybridMultilevel"/>
    <w:tmpl w:val="E2625920"/>
    <w:lvl w:ilvl="0" w:tplc="43EC0FD2">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C2A96"/>
    <w:multiLevelType w:val="hybridMultilevel"/>
    <w:tmpl w:val="38AEFE7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5C1196"/>
    <w:multiLevelType w:val="hybridMultilevel"/>
    <w:tmpl w:val="1818D606"/>
    <w:lvl w:ilvl="0" w:tplc="43EC0FD2">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E2C3A"/>
    <w:multiLevelType w:val="hybridMultilevel"/>
    <w:tmpl w:val="69BCEDC6"/>
    <w:lvl w:ilvl="0" w:tplc="053E77D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3A82B10"/>
    <w:multiLevelType w:val="hybridMultilevel"/>
    <w:tmpl w:val="6F78DF68"/>
    <w:lvl w:ilvl="0" w:tplc="053E77D4">
      <w:start w:val="1"/>
      <w:numFmt w:val="lowerLetter"/>
      <w:lvlText w:val="(%1)"/>
      <w:lvlJc w:val="lef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B30A1C"/>
    <w:multiLevelType w:val="hybridMultilevel"/>
    <w:tmpl w:val="6CD48C1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1D4037"/>
    <w:multiLevelType w:val="hybridMultilevel"/>
    <w:tmpl w:val="A024318A"/>
    <w:lvl w:ilvl="0" w:tplc="147C2268">
      <w:start w:val="1"/>
      <w:numFmt w:val="bullet"/>
      <w:pStyle w:val="ListParagraph"/>
      <w:lvlText w:val=""/>
      <w:lvlJc w:val="left"/>
      <w:pPr>
        <w:ind w:left="1440" w:hanging="360"/>
      </w:pPr>
      <w:rPr>
        <w:rFonts w:ascii="Wingdings" w:hAnsi="Wingdings"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87E1795"/>
    <w:multiLevelType w:val="hybridMultilevel"/>
    <w:tmpl w:val="EBE67F4C"/>
    <w:lvl w:ilvl="0" w:tplc="F13C44C8">
      <w:start w:val="15"/>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D52FB1"/>
    <w:multiLevelType w:val="hybridMultilevel"/>
    <w:tmpl w:val="A5E4A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8501C5"/>
    <w:multiLevelType w:val="hybridMultilevel"/>
    <w:tmpl w:val="11926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075CE3"/>
    <w:multiLevelType w:val="hybridMultilevel"/>
    <w:tmpl w:val="C8CA84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4D0AEF"/>
    <w:multiLevelType w:val="multilevel"/>
    <w:tmpl w:val="C77202F4"/>
    <w:lvl w:ilvl="0">
      <w:start w:val="2"/>
      <w:numFmt w:val="decimal"/>
      <w:lvlText w:val="%1."/>
      <w:lvlJc w:val="left"/>
      <w:pPr>
        <w:ind w:left="390" w:hanging="390"/>
      </w:pPr>
      <w:rPr>
        <w:rFonts w:hint="default"/>
        <w:color w:val="006666"/>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C4F5872"/>
    <w:multiLevelType w:val="hybridMultilevel"/>
    <w:tmpl w:val="0EC29F6A"/>
    <w:lvl w:ilvl="0" w:tplc="F13C44C8">
      <w:start w:val="15"/>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606984"/>
    <w:multiLevelType w:val="hybridMultilevel"/>
    <w:tmpl w:val="68285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104371"/>
    <w:multiLevelType w:val="hybridMultilevel"/>
    <w:tmpl w:val="0E5A0EE2"/>
    <w:lvl w:ilvl="0" w:tplc="5C80067C">
      <w:start w:val="1"/>
      <w:numFmt w:val="decimal"/>
      <w:lvlText w:val="%1."/>
      <w:lvlJc w:val="left"/>
      <w:pPr>
        <w:ind w:left="644"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3960B23"/>
    <w:multiLevelType w:val="hybridMultilevel"/>
    <w:tmpl w:val="E36AF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080415"/>
    <w:multiLevelType w:val="hybridMultilevel"/>
    <w:tmpl w:val="A5042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17515B"/>
    <w:multiLevelType w:val="hybridMultilevel"/>
    <w:tmpl w:val="74267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7650D9"/>
    <w:multiLevelType w:val="hybridMultilevel"/>
    <w:tmpl w:val="6C4AE45A"/>
    <w:lvl w:ilvl="0" w:tplc="43EC0FD2">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533324"/>
    <w:multiLevelType w:val="hybridMultilevel"/>
    <w:tmpl w:val="79541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EA7C99"/>
    <w:multiLevelType w:val="hybridMultilevel"/>
    <w:tmpl w:val="241005C6"/>
    <w:lvl w:ilvl="0" w:tplc="D8D4F734">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5D1CA4"/>
    <w:multiLevelType w:val="hybridMultilevel"/>
    <w:tmpl w:val="008EB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1039D9"/>
    <w:multiLevelType w:val="hybridMultilevel"/>
    <w:tmpl w:val="7CDC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5F733F"/>
    <w:multiLevelType w:val="hybridMultilevel"/>
    <w:tmpl w:val="EEC20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6C96F58"/>
    <w:multiLevelType w:val="hybridMultilevel"/>
    <w:tmpl w:val="38AEFE78"/>
    <w:lvl w:ilvl="0" w:tplc="76B6912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523A7C"/>
    <w:multiLevelType w:val="multilevel"/>
    <w:tmpl w:val="9DA40E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3CA688D"/>
    <w:multiLevelType w:val="hybridMultilevel"/>
    <w:tmpl w:val="282C87F2"/>
    <w:lvl w:ilvl="0" w:tplc="F13C44C8">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640B72"/>
    <w:multiLevelType w:val="hybridMultilevel"/>
    <w:tmpl w:val="5420D1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D0154B7"/>
    <w:multiLevelType w:val="hybridMultilevel"/>
    <w:tmpl w:val="83F00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FFE11C0"/>
    <w:multiLevelType w:val="multilevel"/>
    <w:tmpl w:val="0EB24560"/>
    <w:styleLink w:val="CurrentList1"/>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62614681">
    <w:abstractNumId w:val="14"/>
  </w:num>
  <w:num w:numId="2" w16cid:durableId="1004282691">
    <w:abstractNumId w:val="22"/>
  </w:num>
  <w:num w:numId="3" w16cid:durableId="1651012993">
    <w:abstractNumId w:val="5"/>
  </w:num>
  <w:num w:numId="4" w16cid:durableId="1594819657">
    <w:abstractNumId w:val="38"/>
  </w:num>
  <w:num w:numId="5" w16cid:durableId="1270506079">
    <w:abstractNumId w:val="2"/>
  </w:num>
  <w:num w:numId="6" w16cid:durableId="2117631730">
    <w:abstractNumId w:val="6"/>
  </w:num>
  <w:num w:numId="7" w16cid:durableId="338509789">
    <w:abstractNumId w:val="13"/>
  </w:num>
  <w:num w:numId="8" w16cid:durableId="2086225756">
    <w:abstractNumId w:val="0"/>
  </w:num>
  <w:num w:numId="9" w16cid:durableId="619068749">
    <w:abstractNumId w:val="4"/>
  </w:num>
  <w:num w:numId="10" w16cid:durableId="769933552">
    <w:abstractNumId w:val="30"/>
  </w:num>
  <w:num w:numId="11" w16cid:durableId="771436022">
    <w:abstractNumId w:val="18"/>
  </w:num>
  <w:num w:numId="12" w16cid:durableId="1950356852">
    <w:abstractNumId w:val="28"/>
  </w:num>
  <w:num w:numId="13" w16cid:durableId="1729723430">
    <w:abstractNumId w:val="26"/>
  </w:num>
  <w:num w:numId="14" w16cid:durableId="1215383914">
    <w:abstractNumId w:val="32"/>
  </w:num>
  <w:num w:numId="15" w16cid:durableId="1954902078">
    <w:abstractNumId w:val="37"/>
  </w:num>
  <w:num w:numId="16" w16cid:durableId="813837082">
    <w:abstractNumId w:val="35"/>
  </w:num>
  <w:num w:numId="17" w16cid:durableId="2061322521">
    <w:abstractNumId w:val="11"/>
  </w:num>
  <w:num w:numId="18" w16cid:durableId="1359814097">
    <w:abstractNumId w:val="1"/>
  </w:num>
  <w:num w:numId="19" w16cid:durableId="1418360427">
    <w:abstractNumId w:val="31"/>
  </w:num>
  <w:num w:numId="20" w16cid:durableId="2126535925">
    <w:abstractNumId w:val="16"/>
  </w:num>
  <w:num w:numId="21" w16cid:durableId="1898544303">
    <w:abstractNumId w:val="24"/>
  </w:num>
  <w:num w:numId="22" w16cid:durableId="1055273943">
    <w:abstractNumId w:val="15"/>
  </w:num>
  <w:num w:numId="23" w16cid:durableId="1678844888">
    <w:abstractNumId w:val="20"/>
  </w:num>
  <w:num w:numId="24" w16cid:durableId="1609461675">
    <w:abstractNumId w:val="3"/>
  </w:num>
  <w:num w:numId="25" w16cid:durableId="819419157">
    <w:abstractNumId w:val="21"/>
  </w:num>
  <w:num w:numId="26" w16cid:durableId="1414350852">
    <w:abstractNumId w:val="34"/>
  </w:num>
  <w:num w:numId="27" w16cid:durableId="1366443257">
    <w:abstractNumId w:val="12"/>
  </w:num>
  <w:num w:numId="28" w16cid:durableId="2091850466">
    <w:abstractNumId w:val="19"/>
  </w:num>
  <w:num w:numId="29" w16cid:durableId="1040132003">
    <w:abstractNumId w:val="36"/>
  </w:num>
  <w:num w:numId="30" w16cid:durableId="2011516213">
    <w:abstractNumId w:val="25"/>
  </w:num>
  <w:num w:numId="31" w16cid:durableId="1804692155">
    <w:abstractNumId w:val="17"/>
  </w:num>
  <w:num w:numId="32" w16cid:durableId="970284281">
    <w:abstractNumId w:val="23"/>
  </w:num>
  <w:num w:numId="33" w16cid:durableId="1953243421">
    <w:abstractNumId w:val="7"/>
  </w:num>
  <w:num w:numId="34" w16cid:durableId="294025945">
    <w:abstractNumId w:val="29"/>
  </w:num>
  <w:num w:numId="35" w16cid:durableId="1935821342">
    <w:abstractNumId w:val="27"/>
  </w:num>
  <w:num w:numId="36" w16cid:durableId="1586500124">
    <w:abstractNumId w:val="8"/>
  </w:num>
  <w:num w:numId="37" w16cid:durableId="442456996">
    <w:abstractNumId w:val="10"/>
  </w:num>
  <w:num w:numId="38" w16cid:durableId="668412845">
    <w:abstractNumId w:val="33"/>
  </w:num>
  <w:num w:numId="39" w16cid:durableId="93154785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1F"/>
    <w:rsid w:val="0000021C"/>
    <w:rsid w:val="00001BFD"/>
    <w:rsid w:val="00002764"/>
    <w:rsid w:val="000038D1"/>
    <w:rsid w:val="00004F14"/>
    <w:rsid w:val="00004F22"/>
    <w:rsid w:val="00005974"/>
    <w:rsid w:val="00006E54"/>
    <w:rsid w:val="00007C3C"/>
    <w:rsid w:val="00010F02"/>
    <w:rsid w:val="00011AEE"/>
    <w:rsid w:val="00013674"/>
    <w:rsid w:val="0001773C"/>
    <w:rsid w:val="000221BB"/>
    <w:rsid w:val="0002337C"/>
    <w:rsid w:val="000245A0"/>
    <w:rsid w:val="000266E2"/>
    <w:rsid w:val="00026B87"/>
    <w:rsid w:val="00027A83"/>
    <w:rsid w:val="00030360"/>
    <w:rsid w:val="0003045E"/>
    <w:rsid w:val="00031655"/>
    <w:rsid w:val="0003219C"/>
    <w:rsid w:val="000321FA"/>
    <w:rsid w:val="00040346"/>
    <w:rsid w:val="00041485"/>
    <w:rsid w:val="00041EC4"/>
    <w:rsid w:val="00042949"/>
    <w:rsid w:val="0004425B"/>
    <w:rsid w:val="000445FC"/>
    <w:rsid w:val="0004515E"/>
    <w:rsid w:val="0004650A"/>
    <w:rsid w:val="000466B6"/>
    <w:rsid w:val="000505D9"/>
    <w:rsid w:val="00050D98"/>
    <w:rsid w:val="00051205"/>
    <w:rsid w:val="00051EF9"/>
    <w:rsid w:val="00052527"/>
    <w:rsid w:val="00053BEA"/>
    <w:rsid w:val="00055FD6"/>
    <w:rsid w:val="000560A4"/>
    <w:rsid w:val="000561FD"/>
    <w:rsid w:val="00056773"/>
    <w:rsid w:val="00057437"/>
    <w:rsid w:val="000575AC"/>
    <w:rsid w:val="000576F5"/>
    <w:rsid w:val="00057EFE"/>
    <w:rsid w:val="000611D2"/>
    <w:rsid w:val="00061686"/>
    <w:rsid w:val="00061F0D"/>
    <w:rsid w:val="00062543"/>
    <w:rsid w:val="00064F3C"/>
    <w:rsid w:val="0006517B"/>
    <w:rsid w:val="0006608A"/>
    <w:rsid w:val="00067CC5"/>
    <w:rsid w:val="00073C9F"/>
    <w:rsid w:val="000743F0"/>
    <w:rsid w:val="00075A5C"/>
    <w:rsid w:val="000767A5"/>
    <w:rsid w:val="00076A51"/>
    <w:rsid w:val="00076F70"/>
    <w:rsid w:val="0008014D"/>
    <w:rsid w:val="00080AF5"/>
    <w:rsid w:val="00084C74"/>
    <w:rsid w:val="00085355"/>
    <w:rsid w:val="000879B6"/>
    <w:rsid w:val="00090F6F"/>
    <w:rsid w:val="00091953"/>
    <w:rsid w:val="00092247"/>
    <w:rsid w:val="000925B5"/>
    <w:rsid w:val="000943A1"/>
    <w:rsid w:val="000A0148"/>
    <w:rsid w:val="000A05F9"/>
    <w:rsid w:val="000A0A75"/>
    <w:rsid w:val="000A1B41"/>
    <w:rsid w:val="000A3BFB"/>
    <w:rsid w:val="000A3FC5"/>
    <w:rsid w:val="000A52EF"/>
    <w:rsid w:val="000A6C1E"/>
    <w:rsid w:val="000B3A1B"/>
    <w:rsid w:val="000B44CE"/>
    <w:rsid w:val="000B7520"/>
    <w:rsid w:val="000B7ACB"/>
    <w:rsid w:val="000C101C"/>
    <w:rsid w:val="000C177D"/>
    <w:rsid w:val="000C1CC4"/>
    <w:rsid w:val="000C2174"/>
    <w:rsid w:val="000C2814"/>
    <w:rsid w:val="000C2F12"/>
    <w:rsid w:val="000C405F"/>
    <w:rsid w:val="000C4194"/>
    <w:rsid w:val="000C486E"/>
    <w:rsid w:val="000C7CD6"/>
    <w:rsid w:val="000D0BED"/>
    <w:rsid w:val="000D1C95"/>
    <w:rsid w:val="000D48C1"/>
    <w:rsid w:val="000D6F0A"/>
    <w:rsid w:val="000D7110"/>
    <w:rsid w:val="000D712A"/>
    <w:rsid w:val="000E02EC"/>
    <w:rsid w:val="000E28F4"/>
    <w:rsid w:val="000E352E"/>
    <w:rsid w:val="000E4CB1"/>
    <w:rsid w:val="000E607E"/>
    <w:rsid w:val="000F010A"/>
    <w:rsid w:val="000F286A"/>
    <w:rsid w:val="000F2A12"/>
    <w:rsid w:val="000F2AF2"/>
    <w:rsid w:val="000F3B07"/>
    <w:rsid w:val="000F4260"/>
    <w:rsid w:val="000F4DE1"/>
    <w:rsid w:val="000F4E3C"/>
    <w:rsid w:val="000F6425"/>
    <w:rsid w:val="000F6BCF"/>
    <w:rsid w:val="0010059E"/>
    <w:rsid w:val="0010179D"/>
    <w:rsid w:val="00101A48"/>
    <w:rsid w:val="00102743"/>
    <w:rsid w:val="001027C8"/>
    <w:rsid w:val="0010484D"/>
    <w:rsid w:val="00106F5D"/>
    <w:rsid w:val="00107248"/>
    <w:rsid w:val="0010760C"/>
    <w:rsid w:val="001116AB"/>
    <w:rsid w:val="00111AFE"/>
    <w:rsid w:val="00112B56"/>
    <w:rsid w:val="00115352"/>
    <w:rsid w:val="00117989"/>
    <w:rsid w:val="00117B15"/>
    <w:rsid w:val="00117C8B"/>
    <w:rsid w:val="001227FC"/>
    <w:rsid w:val="00124597"/>
    <w:rsid w:val="0012525A"/>
    <w:rsid w:val="00125EFD"/>
    <w:rsid w:val="001273F8"/>
    <w:rsid w:val="00130813"/>
    <w:rsid w:val="00132766"/>
    <w:rsid w:val="001344F3"/>
    <w:rsid w:val="00137C94"/>
    <w:rsid w:val="00140802"/>
    <w:rsid w:val="001432CA"/>
    <w:rsid w:val="00143CC2"/>
    <w:rsid w:val="00144617"/>
    <w:rsid w:val="00144BEF"/>
    <w:rsid w:val="001467E3"/>
    <w:rsid w:val="001507CA"/>
    <w:rsid w:val="001510B8"/>
    <w:rsid w:val="00152C79"/>
    <w:rsid w:val="001537EE"/>
    <w:rsid w:val="00153AFE"/>
    <w:rsid w:val="0015499B"/>
    <w:rsid w:val="00155438"/>
    <w:rsid w:val="00155801"/>
    <w:rsid w:val="00155AFE"/>
    <w:rsid w:val="00156516"/>
    <w:rsid w:val="0015798B"/>
    <w:rsid w:val="001609C7"/>
    <w:rsid w:val="00160A09"/>
    <w:rsid w:val="00162550"/>
    <w:rsid w:val="00162D5B"/>
    <w:rsid w:val="0016396A"/>
    <w:rsid w:val="001649C2"/>
    <w:rsid w:val="00164A4A"/>
    <w:rsid w:val="00171442"/>
    <w:rsid w:val="00172DFA"/>
    <w:rsid w:val="001739B2"/>
    <w:rsid w:val="00174827"/>
    <w:rsid w:val="0017553A"/>
    <w:rsid w:val="00176345"/>
    <w:rsid w:val="00180552"/>
    <w:rsid w:val="00180A0A"/>
    <w:rsid w:val="0018180F"/>
    <w:rsid w:val="00183940"/>
    <w:rsid w:val="00184257"/>
    <w:rsid w:val="001848C8"/>
    <w:rsid w:val="001860AE"/>
    <w:rsid w:val="001862C5"/>
    <w:rsid w:val="00187DA1"/>
    <w:rsid w:val="00190E3D"/>
    <w:rsid w:val="00190EC9"/>
    <w:rsid w:val="00191297"/>
    <w:rsid w:val="00191E05"/>
    <w:rsid w:val="00193852"/>
    <w:rsid w:val="00193D3D"/>
    <w:rsid w:val="00193F83"/>
    <w:rsid w:val="00194DC9"/>
    <w:rsid w:val="00195CC3"/>
    <w:rsid w:val="00196E23"/>
    <w:rsid w:val="00197FF7"/>
    <w:rsid w:val="001A0F19"/>
    <w:rsid w:val="001A1BE8"/>
    <w:rsid w:val="001A22F1"/>
    <w:rsid w:val="001A246A"/>
    <w:rsid w:val="001A281A"/>
    <w:rsid w:val="001A4C40"/>
    <w:rsid w:val="001A4CD6"/>
    <w:rsid w:val="001A5730"/>
    <w:rsid w:val="001A580D"/>
    <w:rsid w:val="001B02E7"/>
    <w:rsid w:val="001B0564"/>
    <w:rsid w:val="001B0B6C"/>
    <w:rsid w:val="001B2FAB"/>
    <w:rsid w:val="001B4305"/>
    <w:rsid w:val="001B5749"/>
    <w:rsid w:val="001B5CF1"/>
    <w:rsid w:val="001B603B"/>
    <w:rsid w:val="001B721B"/>
    <w:rsid w:val="001C1F55"/>
    <w:rsid w:val="001C37CC"/>
    <w:rsid w:val="001C54CE"/>
    <w:rsid w:val="001C5B49"/>
    <w:rsid w:val="001C7230"/>
    <w:rsid w:val="001D4441"/>
    <w:rsid w:val="001D449C"/>
    <w:rsid w:val="001D4711"/>
    <w:rsid w:val="001D79E9"/>
    <w:rsid w:val="001E34F0"/>
    <w:rsid w:val="001E3C65"/>
    <w:rsid w:val="001E473B"/>
    <w:rsid w:val="001E5B4E"/>
    <w:rsid w:val="001F1C67"/>
    <w:rsid w:val="001F27E3"/>
    <w:rsid w:val="001F2A77"/>
    <w:rsid w:val="001F4539"/>
    <w:rsid w:val="0020048B"/>
    <w:rsid w:val="00202426"/>
    <w:rsid w:val="00204CB4"/>
    <w:rsid w:val="00205555"/>
    <w:rsid w:val="002068D8"/>
    <w:rsid w:val="00206F34"/>
    <w:rsid w:val="002076B9"/>
    <w:rsid w:val="0020797E"/>
    <w:rsid w:val="002111CD"/>
    <w:rsid w:val="00213157"/>
    <w:rsid w:val="00213E3A"/>
    <w:rsid w:val="002143C1"/>
    <w:rsid w:val="002145A3"/>
    <w:rsid w:val="00216161"/>
    <w:rsid w:val="0021637D"/>
    <w:rsid w:val="00216B6B"/>
    <w:rsid w:val="002179F2"/>
    <w:rsid w:val="00217ABE"/>
    <w:rsid w:val="00220837"/>
    <w:rsid w:val="00220D7C"/>
    <w:rsid w:val="00226468"/>
    <w:rsid w:val="002309BA"/>
    <w:rsid w:val="002316D2"/>
    <w:rsid w:val="002325F6"/>
    <w:rsid w:val="00233959"/>
    <w:rsid w:val="002355E6"/>
    <w:rsid w:val="00243503"/>
    <w:rsid w:val="00244714"/>
    <w:rsid w:val="00244FA2"/>
    <w:rsid w:val="0024536A"/>
    <w:rsid w:val="002469CA"/>
    <w:rsid w:val="00246E9E"/>
    <w:rsid w:val="00246F5E"/>
    <w:rsid w:val="00247A8F"/>
    <w:rsid w:val="00251330"/>
    <w:rsid w:val="002514CC"/>
    <w:rsid w:val="00251BC3"/>
    <w:rsid w:val="00252378"/>
    <w:rsid w:val="00253265"/>
    <w:rsid w:val="00255B03"/>
    <w:rsid w:val="00257182"/>
    <w:rsid w:val="00257E99"/>
    <w:rsid w:val="0026496E"/>
    <w:rsid w:val="00264E2D"/>
    <w:rsid w:val="0026626E"/>
    <w:rsid w:val="002667E8"/>
    <w:rsid w:val="00267B25"/>
    <w:rsid w:val="00270573"/>
    <w:rsid w:val="00270701"/>
    <w:rsid w:val="00270826"/>
    <w:rsid w:val="0027096E"/>
    <w:rsid w:val="00273CDE"/>
    <w:rsid w:val="00274BA7"/>
    <w:rsid w:val="002767B0"/>
    <w:rsid w:val="00277AB5"/>
    <w:rsid w:val="0028030D"/>
    <w:rsid w:val="002825FC"/>
    <w:rsid w:val="002857B2"/>
    <w:rsid w:val="002863EA"/>
    <w:rsid w:val="00291227"/>
    <w:rsid w:val="00291890"/>
    <w:rsid w:val="00292565"/>
    <w:rsid w:val="0029281A"/>
    <w:rsid w:val="002941B1"/>
    <w:rsid w:val="002961A1"/>
    <w:rsid w:val="00296EA1"/>
    <w:rsid w:val="00297799"/>
    <w:rsid w:val="002A00F3"/>
    <w:rsid w:val="002A03CE"/>
    <w:rsid w:val="002A0B1B"/>
    <w:rsid w:val="002A161D"/>
    <w:rsid w:val="002A1EF7"/>
    <w:rsid w:val="002A20FA"/>
    <w:rsid w:val="002A2672"/>
    <w:rsid w:val="002A4C13"/>
    <w:rsid w:val="002A51B2"/>
    <w:rsid w:val="002A58D0"/>
    <w:rsid w:val="002A7FC3"/>
    <w:rsid w:val="002B0FEB"/>
    <w:rsid w:val="002B15EC"/>
    <w:rsid w:val="002B17C1"/>
    <w:rsid w:val="002B1D2E"/>
    <w:rsid w:val="002B3A20"/>
    <w:rsid w:val="002B3F58"/>
    <w:rsid w:val="002C0D42"/>
    <w:rsid w:val="002C0E01"/>
    <w:rsid w:val="002C0E13"/>
    <w:rsid w:val="002C23FC"/>
    <w:rsid w:val="002C343C"/>
    <w:rsid w:val="002C35AC"/>
    <w:rsid w:val="002C536B"/>
    <w:rsid w:val="002C559C"/>
    <w:rsid w:val="002C59A9"/>
    <w:rsid w:val="002D1100"/>
    <w:rsid w:val="002D12E3"/>
    <w:rsid w:val="002D1FDC"/>
    <w:rsid w:val="002D32FB"/>
    <w:rsid w:val="002D4036"/>
    <w:rsid w:val="002D471D"/>
    <w:rsid w:val="002D5221"/>
    <w:rsid w:val="002D609B"/>
    <w:rsid w:val="002D60FC"/>
    <w:rsid w:val="002E045F"/>
    <w:rsid w:val="002E092E"/>
    <w:rsid w:val="002E2B4F"/>
    <w:rsid w:val="002E346D"/>
    <w:rsid w:val="002E6B74"/>
    <w:rsid w:val="002E6CFA"/>
    <w:rsid w:val="002E7E85"/>
    <w:rsid w:val="002F3E2C"/>
    <w:rsid w:val="002F5FFA"/>
    <w:rsid w:val="002F6F20"/>
    <w:rsid w:val="002F77C9"/>
    <w:rsid w:val="00303314"/>
    <w:rsid w:val="00303B17"/>
    <w:rsid w:val="00303F3F"/>
    <w:rsid w:val="0030618A"/>
    <w:rsid w:val="00307062"/>
    <w:rsid w:val="0030794F"/>
    <w:rsid w:val="00307C5B"/>
    <w:rsid w:val="0031059D"/>
    <w:rsid w:val="003129D5"/>
    <w:rsid w:val="0031543A"/>
    <w:rsid w:val="00315CB1"/>
    <w:rsid w:val="00317509"/>
    <w:rsid w:val="00317689"/>
    <w:rsid w:val="00317F35"/>
    <w:rsid w:val="00320BFB"/>
    <w:rsid w:val="00322A9C"/>
    <w:rsid w:val="00322DC4"/>
    <w:rsid w:val="003239B7"/>
    <w:rsid w:val="003279D3"/>
    <w:rsid w:val="00331157"/>
    <w:rsid w:val="003329E6"/>
    <w:rsid w:val="00332AAE"/>
    <w:rsid w:val="003336F8"/>
    <w:rsid w:val="00335D70"/>
    <w:rsid w:val="003379FD"/>
    <w:rsid w:val="00340E81"/>
    <w:rsid w:val="003416BB"/>
    <w:rsid w:val="003424C0"/>
    <w:rsid w:val="00343A75"/>
    <w:rsid w:val="00343E6B"/>
    <w:rsid w:val="00346883"/>
    <w:rsid w:val="00347B55"/>
    <w:rsid w:val="003503FC"/>
    <w:rsid w:val="00350652"/>
    <w:rsid w:val="0035133C"/>
    <w:rsid w:val="003530C5"/>
    <w:rsid w:val="0035472A"/>
    <w:rsid w:val="00354A56"/>
    <w:rsid w:val="0035516A"/>
    <w:rsid w:val="00356991"/>
    <w:rsid w:val="003603CF"/>
    <w:rsid w:val="00360E3B"/>
    <w:rsid w:val="0036108F"/>
    <w:rsid w:val="0036316E"/>
    <w:rsid w:val="00363224"/>
    <w:rsid w:val="0036355E"/>
    <w:rsid w:val="00364F51"/>
    <w:rsid w:val="003652D9"/>
    <w:rsid w:val="00365E3B"/>
    <w:rsid w:val="00366343"/>
    <w:rsid w:val="0037001D"/>
    <w:rsid w:val="0037394F"/>
    <w:rsid w:val="00373A0E"/>
    <w:rsid w:val="00373D94"/>
    <w:rsid w:val="00375343"/>
    <w:rsid w:val="003761FD"/>
    <w:rsid w:val="00377DF0"/>
    <w:rsid w:val="00380F16"/>
    <w:rsid w:val="00380F9B"/>
    <w:rsid w:val="00381207"/>
    <w:rsid w:val="00385838"/>
    <w:rsid w:val="00385E5A"/>
    <w:rsid w:val="00387177"/>
    <w:rsid w:val="00390A29"/>
    <w:rsid w:val="00390D17"/>
    <w:rsid w:val="00392471"/>
    <w:rsid w:val="00392480"/>
    <w:rsid w:val="003937D2"/>
    <w:rsid w:val="00393E38"/>
    <w:rsid w:val="00394021"/>
    <w:rsid w:val="00395D53"/>
    <w:rsid w:val="00396A5D"/>
    <w:rsid w:val="00396E24"/>
    <w:rsid w:val="003A1757"/>
    <w:rsid w:val="003A2E58"/>
    <w:rsid w:val="003A3620"/>
    <w:rsid w:val="003A38F0"/>
    <w:rsid w:val="003A5ACA"/>
    <w:rsid w:val="003A5CD7"/>
    <w:rsid w:val="003A61BD"/>
    <w:rsid w:val="003A66B6"/>
    <w:rsid w:val="003A692C"/>
    <w:rsid w:val="003A7C93"/>
    <w:rsid w:val="003B0664"/>
    <w:rsid w:val="003B17B5"/>
    <w:rsid w:val="003B2F4B"/>
    <w:rsid w:val="003B351D"/>
    <w:rsid w:val="003B3755"/>
    <w:rsid w:val="003B3C35"/>
    <w:rsid w:val="003B5208"/>
    <w:rsid w:val="003B7B49"/>
    <w:rsid w:val="003C0ED1"/>
    <w:rsid w:val="003C4117"/>
    <w:rsid w:val="003C7574"/>
    <w:rsid w:val="003D06AF"/>
    <w:rsid w:val="003D1CF8"/>
    <w:rsid w:val="003D26A2"/>
    <w:rsid w:val="003D2A1E"/>
    <w:rsid w:val="003D4F54"/>
    <w:rsid w:val="003D6491"/>
    <w:rsid w:val="003E2DDE"/>
    <w:rsid w:val="003E2E87"/>
    <w:rsid w:val="003E3966"/>
    <w:rsid w:val="003E5266"/>
    <w:rsid w:val="003E690E"/>
    <w:rsid w:val="003E760B"/>
    <w:rsid w:val="003F0525"/>
    <w:rsid w:val="003F4B2C"/>
    <w:rsid w:val="003F5540"/>
    <w:rsid w:val="003F6271"/>
    <w:rsid w:val="003F629A"/>
    <w:rsid w:val="003F73AC"/>
    <w:rsid w:val="004005D3"/>
    <w:rsid w:val="00401C0F"/>
    <w:rsid w:val="00403851"/>
    <w:rsid w:val="00403949"/>
    <w:rsid w:val="004039BF"/>
    <w:rsid w:val="004041FE"/>
    <w:rsid w:val="0040439B"/>
    <w:rsid w:val="00404718"/>
    <w:rsid w:val="00405C1D"/>
    <w:rsid w:val="00406358"/>
    <w:rsid w:val="00406ABD"/>
    <w:rsid w:val="00410C7F"/>
    <w:rsid w:val="00410D12"/>
    <w:rsid w:val="00412168"/>
    <w:rsid w:val="00412519"/>
    <w:rsid w:val="004126E0"/>
    <w:rsid w:val="00413157"/>
    <w:rsid w:val="00413A4B"/>
    <w:rsid w:val="00414CA8"/>
    <w:rsid w:val="004156A0"/>
    <w:rsid w:val="00415C5E"/>
    <w:rsid w:val="00416265"/>
    <w:rsid w:val="00416305"/>
    <w:rsid w:val="00416CBC"/>
    <w:rsid w:val="00420733"/>
    <w:rsid w:val="004218FA"/>
    <w:rsid w:val="00422A12"/>
    <w:rsid w:val="004261F6"/>
    <w:rsid w:val="00426221"/>
    <w:rsid w:val="00426326"/>
    <w:rsid w:val="00427FC2"/>
    <w:rsid w:val="00430475"/>
    <w:rsid w:val="00430775"/>
    <w:rsid w:val="00430D12"/>
    <w:rsid w:val="004319C6"/>
    <w:rsid w:val="00432C98"/>
    <w:rsid w:val="00432CD3"/>
    <w:rsid w:val="0043575D"/>
    <w:rsid w:val="00435E92"/>
    <w:rsid w:val="0043611F"/>
    <w:rsid w:val="00436163"/>
    <w:rsid w:val="00436D9C"/>
    <w:rsid w:val="00440B21"/>
    <w:rsid w:val="00440B8A"/>
    <w:rsid w:val="00441543"/>
    <w:rsid w:val="004436C6"/>
    <w:rsid w:val="00444E12"/>
    <w:rsid w:val="00445395"/>
    <w:rsid w:val="004456E2"/>
    <w:rsid w:val="0044662C"/>
    <w:rsid w:val="0044792F"/>
    <w:rsid w:val="00450A00"/>
    <w:rsid w:val="00452553"/>
    <w:rsid w:val="004525BE"/>
    <w:rsid w:val="00453545"/>
    <w:rsid w:val="00454008"/>
    <w:rsid w:val="00455121"/>
    <w:rsid w:val="00455863"/>
    <w:rsid w:val="00455AD0"/>
    <w:rsid w:val="004577C9"/>
    <w:rsid w:val="004579CC"/>
    <w:rsid w:val="00460341"/>
    <w:rsid w:val="00461093"/>
    <w:rsid w:val="004610A8"/>
    <w:rsid w:val="004611D1"/>
    <w:rsid w:val="0046171E"/>
    <w:rsid w:val="00464A4F"/>
    <w:rsid w:val="00470667"/>
    <w:rsid w:val="00470A80"/>
    <w:rsid w:val="00473A2E"/>
    <w:rsid w:val="00474CD5"/>
    <w:rsid w:val="004762E2"/>
    <w:rsid w:val="004767D3"/>
    <w:rsid w:val="00476EDA"/>
    <w:rsid w:val="0047761F"/>
    <w:rsid w:val="00477F4C"/>
    <w:rsid w:val="004800DC"/>
    <w:rsid w:val="00481040"/>
    <w:rsid w:val="00481092"/>
    <w:rsid w:val="00481603"/>
    <w:rsid w:val="0048201F"/>
    <w:rsid w:val="00483AC4"/>
    <w:rsid w:val="00484A37"/>
    <w:rsid w:val="00484F16"/>
    <w:rsid w:val="00485E53"/>
    <w:rsid w:val="004867BA"/>
    <w:rsid w:val="00487A39"/>
    <w:rsid w:val="00487CE0"/>
    <w:rsid w:val="004904E8"/>
    <w:rsid w:val="00497293"/>
    <w:rsid w:val="004A02A8"/>
    <w:rsid w:val="004A1A57"/>
    <w:rsid w:val="004A3E07"/>
    <w:rsid w:val="004A692A"/>
    <w:rsid w:val="004A747E"/>
    <w:rsid w:val="004A75AB"/>
    <w:rsid w:val="004B0CDB"/>
    <w:rsid w:val="004B1A8A"/>
    <w:rsid w:val="004B69D5"/>
    <w:rsid w:val="004B6C2E"/>
    <w:rsid w:val="004B7066"/>
    <w:rsid w:val="004B7617"/>
    <w:rsid w:val="004C1598"/>
    <w:rsid w:val="004C1C22"/>
    <w:rsid w:val="004C287E"/>
    <w:rsid w:val="004C5FCB"/>
    <w:rsid w:val="004D1C35"/>
    <w:rsid w:val="004D264A"/>
    <w:rsid w:val="004D273F"/>
    <w:rsid w:val="004D4BF6"/>
    <w:rsid w:val="004D4EAC"/>
    <w:rsid w:val="004D58A6"/>
    <w:rsid w:val="004D7C04"/>
    <w:rsid w:val="004E1E92"/>
    <w:rsid w:val="004E360C"/>
    <w:rsid w:val="004E3688"/>
    <w:rsid w:val="004E5A1C"/>
    <w:rsid w:val="004E6149"/>
    <w:rsid w:val="004E6196"/>
    <w:rsid w:val="004E6F20"/>
    <w:rsid w:val="004E7FA4"/>
    <w:rsid w:val="004F2453"/>
    <w:rsid w:val="004F4A00"/>
    <w:rsid w:val="004F5FD1"/>
    <w:rsid w:val="004F7619"/>
    <w:rsid w:val="005005E7"/>
    <w:rsid w:val="00501B57"/>
    <w:rsid w:val="00506B4C"/>
    <w:rsid w:val="0051068C"/>
    <w:rsid w:val="00511F55"/>
    <w:rsid w:val="005124BB"/>
    <w:rsid w:val="005141BD"/>
    <w:rsid w:val="00516B15"/>
    <w:rsid w:val="005178F1"/>
    <w:rsid w:val="00517902"/>
    <w:rsid w:val="00520117"/>
    <w:rsid w:val="00520A5D"/>
    <w:rsid w:val="00520D72"/>
    <w:rsid w:val="00521065"/>
    <w:rsid w:val="00523DEF"/>
    <w:rsid w:val="00526B69"/>
    <w:rsid w:val="00526F96"/>
    <w:rsid w:val="00530C0D"/>
    <w:rsid w:val="005318B2"/>
    <w:rsid w:val="0053316C"/>
    <w:rsid w:val="0053445F"/>
    <w:rsid w:val="00534D82"/>
    <w:rsid w:val="00534DBA"/>
    <w:rsid w:val="005369CE"/>
    <w:rsid w:val="005372B7"/>
    <w:rsid w:val="00540457"/>
    <w:rsid w:val="00542E74"/>
    <w:rsid w:val="005446BD"/>
    <w:rsid w:val="005447BA"/>
    <w:rsid w:val="00547B42"/>
    <w:rsid w:val="00552077"/>
    <w:rsid w:val="005556B7"/>
    <w:rsid w:val="005628F2"/>
    <w:rsid w:val="0056385F"/>
    <w:rsid w:val="00564C18"/>
    <w:rsid w:val="00567E30"/>
    <w:rsid w:val="005705C2"/>
    <w:rsid w:val="00572578"/>
    <w:rsid w:val="005728C8"/>
    <w:rsid w:val="00572FFC"/>
    <w:rsid w:val="0057334D"/>
    <w:rsid w:val="005739FC"/>
    <w:rsid w:val="00574E02"/>
    <w:rsid w:val="00575312"/>
    <w:rsid w:val="00575F45"/>
    <w:rsid w:val="0057605D"/>
    <w:rsid w:val="00577C7C"/>
    <w:rsid w:val="00581A63"/>
    <w:rsid w:val="00581FFA"/>
    <w:rsid w:val="00582441"/>
    <w:rsid w:val="00583511"/>
    <w:rsid w:val="00584A62"/>
    <w:rsid w:val="00585554"/>
    <w:rsid w:val="00586343"/>
    <w:rsid w:val="005878B2"/>
    <w:rsid w:val="00590519"/>
    <w:rsid w:val="00590CDA"/>
    <w:rsid w:val="00591E32"/>
    <w:rsid w:val="005927D0"/>
    <w:rsid w:val="005929BA"/>
    <w:rsid w:val="005951F8"/>
    <w:rsid w:val="00595E1E"/>
    <w:rsid w:val="005A0C21"/>
    <w:rsid w:val="005A1945"/>
    <w:rsid w:val="005A2169"/>
    <w:rsid w:val="005A317E"/>
    <w:rsid w:val="005A55E3"/>
    <w:rsid w:val="005A7DAD"/>
    <w:rsid w:val="005B0702"/>
    <w:rsid w:val="005B0E1A"/>
    <w:rsid w:val="005B1353"/>
    <w:rsid w:val="005B15D8"/>
    <w:rsid w:val="005B3135"/>
    <w:rsid w:val="005B44EA"/>
    <w:rsid w:val="005B48BC"/>
    <w:rsid w:val="005B4ED7"/>
    <w:rsid w:val="005B5424"/>
    <w:rsid w:val="005B54A3"/>
    <w:rsid w:val="005B616F"/>
    <w:rsid w:val="005B6A3E"/>
    <w:rsid w:val="005B71D8"/>
    <w:rsid w:val="005B77E0"/>
    <w:rsid w:val="005C0563"/>
    <w:rsid w:val="005C0BA4"/>
    <w:rsid w:val="005C14C2"/>
    <w:rsid w:val="005C27B9"/>
    <w:rsid w:val="005C3A0F"/>
    <w:rsid w:val="005C71E6"/>
    <w:rsid w:val="005C73C8"/>
    <w:rsid w:val="005C73E0"/>
    <w:rsid w:val="005D000C"/>
    <w:rsid w:val="005D1870"/>
    <w:rsid w:val="005D62E7"/>
    <w:rsid w:val="005D6400"/>
    <w:rsid w:val="005D7043"/>
    <w:rsid w:val="005D7F46"/>
    <w:rsid w:val="005E22CD"/>
    <w:rsid w:val="005E2612"/>
    <w:rsid w:val="005E337F"/>
    <w:rsid w:val="005E42CF"/>
    <w:rsid w:val="005E4E3C"/>
    <w:rsid w:val="005E5AE2"/>
    <w:rsid w:val="005F028F"/>
    <w:rsid w:val="005F1A1F"/>
    <w:rsid w:val="005F1DB1"/>
    <w:rsid w:val="005F2D69"/>
    <w:rsid w:val="005F753F"/>
    <w:rsid w:val="005F7CDC"/>
    <w:rsid w:val="006008EB"/>
    <w:rsid w:val="00600DC0"/>
    <w:rsid w:val="00600E10"/>
    <w:rsid w:val="006014DE"/>
    <w:rsid w:val="006020A2"/>
    <w:rsid w:val="00602100"/>
    <w:rsid w:val="006039C5"/>
    <w:rsid w:val="00605592"/>
    <w:rsid w:val="00606B3E"/>
    <w:rsid w:val="006114E2"/>
    <w:rsid w:val="0061265F"/>
    <w:rsid w:val="00613049"/>
    <w:rsid w:val="00613EE0"/>
    <w:rsid w:val="006173C7"/>
    <w:rsid w:val="006210D8"/>
    <w:rsid w:val="00621587"/>
    <w:rsid w:val="0062269F"/>
    <w:rsid w:val="00622775"/>
    <w:rsid w:val="00623938"/>
    <w:rsid w:val="00623A5B"/>
    <w:rsid w:val="00626765"/>
    <w:rsid w:val="00626A45"/>
    <w:rsid w:val="00626DAC"/>
    <w:rsid w:val="0063069B"/>
    <w:rsid w:val="0063421E"/>
    <w:rsid w:val="006342C8"/>
    <w:rsid w:val="00636888"/>
    <w:rsid w:val="00637161"/>
    <w:rsid w:val="00637E3F"/>
    <w:rsid w:val="006402B7"/>
    <w:rsid w:val="00642BEA"/>
    <w:rsid w:val="00643FAA"/>
    <w:rsid w:val="00644EF3"/>
    <w:rsid w:val="006450B3"/>
    <w:rsid w:val="006457A2"/>
    <w:rsid w:val="00645FA8"/>
    <w:rsid w:val="00647720"/>
    <w:rsid w:val="00650189"/>
    <w:rsid w:val="00650B0E"/>
    <w:rsid w:val="006519F3"/>
    <w:rsid w:val="006523B2"/>
    <w:rsid w:val="00652929"/>
    <w:rsid w:val="0065363A"/>
    <w:rsid w:val="00654805"/>
    <w:rsid w:val="00655DF5"/>
    <w:rsid w:val="0065750D"/>
    <w:rsid w:val="00657D90"/>
    <w:rsid w:val="0066119E"/>
    <w:rsid w:val="00661643"/>
    <w:rsid w:val="006616D2"/>
    <w:rsid w:val="006654AB"/>
    <w:rsid w:val="0066557F"/>
    <w:rsid w:val="00665AE5"/>
    <w:rsid w:val="0066627B"/>
    <w:rsid w:val="0066671D"/>
    <w:rsid w:val="00666A28"/>
    <w:rsid w:val="00666E2E"/>
    <w:rsid w:val="00670FB7"/>
    <w:rsid w:val="00672F19"/>
    <w:rsid w:val="00673A0B"/>
    <w:rsid w:val="00674B01"/>
    <w:rsid w:val="0067738F"/>
    <w:rsid w:val="00677728"/>
    <w:rsid w:val="00677F3F"/>
    <w:rsid w:val="006817D0"/>
    <w:rsid w:val="00681846"/>
    <w:rsid w:val="0068400C"/>
    <w:rsid w:val="006842C6"/>
    <w:rsid w:val="006849A8"/>
    <w:rsid w:val="00685759"/>
    <w:rsid w:val="006868D8"/>
    <w:rsid w:val="006877BC"/>
    <w:rsid w:val="00687BE7"/>
    <w:rsid w:val="00690213"/>
    <w:rsid w:val="00690842"/>
    <w:rsid w:val="00690DCC"/>
    <w:rsid w:val="00692906"/>
    <w:rsid w:val="006942DE"/>
    <w:rsid w:val="00694E3B"/>
    <w:rsid w:val="006955B7"/>
    <w:rsid w:val="00697C60"/>
    <w:rsid w:val="006A0141"/>
    <w:rsid w:val="006A1691"/>
    <w:rsid w:val="006A1FE3"/>
    <w:rsid w:val="006A3D88"/>
    <w:rsid w:val="006A3E83"/>
    <w:rsid w:val="006A52CF"/>
    <w:rsid w:val="006A6084"/>
    <w:rsid w:val="006A6176"/>
    <w:rsid w:val="006A670E"/>
    <w:rsid w:val="006A6AED"/>
    <w:rsid w:val="006A6B21"/>
    <w:rsid w:val="006A7701"/>
    <w:rsid w:val="006A78DB"/>
    <w:rsid w:val="006B0251"/>
    <w:rsid w:val="006B059F"/>
    <w:rsid w:val="006B05D5"/>
    <w:rsid w:val="006B0DB1"/>
    <w:rsid w:val="006B2422"/>
    <w:rsid w:val="006B28E5"/>
    <w:rsid w:val="006B49FE"/>
    <w:rsid w:val="006B6687"/>
    <w:rsid w:val="006B717E"/>
    <w:rsid w:val="006C44AB"/>
    <w:rsid w:val="006C4BB1"/>
    <w:rsid w:val="006C516D"/>
    <w:rsid w:val="006C649C"/>
    <w:rsid w:val="006C750C"/>
    <w:rsid w:val="006C7AA6"/>
    <w:rsid w:val="006D06DA"/>
    <w:rsid w:val="006D114D"/>
    <w:rsid w:val="006D4D3D"/>
    <w:rsid w:val="006D4FFD"/>
    <w:rsid w:val="006D6ABD"/>
    <w:rsid w:val="006D7F90"/>
    <w:rsid w:val="006E08D7"/>
    <w:rsid w:val="006E2973"/>
    <w:rsid w:val="006E2AFB"/>
    <w:rsid w:val="006E2BFC"/>
    <w:rsid w:val="006E3102"/>
    <w:rsid w:val="006E31EC"/>
    <w:rsid w:val="006E3269"/>
    <w:rsid w:val="006E534F"/>
    <w:rsid w:val="006E5B2D"/>
    <w:rsid w:val="006F03A8"/>
    <w:rsid w:val="006F11BB"/>
    <w:rsid w:val="006F14EA"/>
    <w:rsid w:val="006F2482"/>
    <w:rsid w:val="006F41B2"/>
    <w:rsid w:val="006F4764"/>
    <w:rsid w:val="006F48F3"/>
    <w:rsid w:val="006F5449"/>
    <w:rsid w:val="006F58BA"/>
    <w:rsid w:val="006F6B9F"/>
    <w:rsid w:val="006F793B"/>
    <w:rsid w:val="0070220A"/>
    <w:rsid w:val="00704C49"/>
    <w:rsid w:val="007065FC"/>
    <w:rsid w:val="007074A3"/>
    <w:rsid w:val="00713395"/>
    <w:rsid w:val="00713D5A"/>
    <w:rsid w:val="007159BA"/>
    <w:rsid w:val="00716937"/>
    <w:rsid w:val="00717CBD"/>
    <w:rsid w:val="00721F5F"/>
    <w:rsid w:val="00722D6F"/>
    <w:rsid w:val="007257AB"/>
    <w:rsid w:val="0073083C"/>
    <w:rsid w:val="00730B77"/>
    <w:rsid w:val="007310B3"/>
    <w:rsid w:val="0073222B"/>
    <w:rsid w:val="007326FD"/>
    <w:rsid w:val="007336FF"/>
    <w:rsid w:val="007340E9"/>
    <w:rsid w:val="00734591"/>
    <w:rsid w:val="007347FE"/>
    <w:rsid w:val="00735E09"/>
    <w:rsid w:val="0073697D"/>
    <w:rsid w:val="00740828"/>
    <w:rsid w:val="007411EA"/>
    <w:rsid w:val="00742B12"/>
    <w:rsid w:val="00742FD7"/>
    <w:rsid w:val="0074407E"/>
    <w:rsid w:val="0074437A"/>
    <w:rsid w:val="007455CA"/>
    <w:rsid w:val="00745872"/>
    <w:rsid w:val="00745B67"/>
    <w:rsid w:val="00745BB4"/>
    <w:rsid w:val="00746755"/>
    <w:rsid w:val="007517F0"/>
    <w:rsid w:val="00753A00"/>
    <w:rsid w:val="00753BE9"/>
    <w:rsid w:val="00755168"/>
    <w:rsid w:val="007572D9"/>
    <w:rsid w:val="007608B8"/>
    <w:rsid w:val="00760964"/>
    <w:rsid w:val="00760FFA"/>
    <w:rsid w:val="0076140E"/>
    <w:rsid w:val="00762CA8"/>
    <w:rsid w:val="00763FA1"/>
    <w:rsid w:val="0076424C"/>
    <w:rsid w:val="007653E6"/>
    <w:rsid w:val="00765C83"/>
    <w:rsid w:val="00765F3D"/>
    <w:rsid w:val="00767299"/>
    <w:rsid w:val="00767D00"/>
    <w:rsid w:val="00767D05"/>
    <w:rsid w:val="007703AB"/>
    <w:rsid w:val="00771068"/>
    <w:rsid w:val="007710E1"/>
    <w:rsid w:val="00771D91"/>
    <w:rsid w:val="00771F3D"/>
    <w:rsid w:val="007730DC"/>
    <w:rsid w:val="0077320E"/>
    <w:rsid w:val="007736A5"/>
    <w:rsid w:val="00773917"/>
    <w:rsid w:val="00773B1C"/>
    <w:rsid w:val="00774CA6"/>
    <w:rsid w:val="00777516"/>
    <w:rsid w:val="00777F2F"/>
    <w:rsid w:val="00780048"/>
    <w:rsid w:val="007808A1"/>
    <w:rsid w:val="007814FB"/>
    <w:rsid w:val="00785425"/>
    <w:rsid w:val="00786B48"/>
    <w:rsid w:val="0078727F"/>
    <w:rsid w:val="00791220"/>
    <w:rsid w:val="00791263"/>
    <w:rsid w:val="0079140B"/>
    <w:rsid w:val="00791CD6"/>
    <w:rsid w:val="0079231B"/>
    <w:rsid w:val="00793520"/>
    <w:rsid w:val="0079358B"/>
    <w:rsid w:val="007945B1"/>
    <w:rsid w:val="00797645"/>
    <w:rsid w:val="00797DF1"/>
    <w:rsid w:val="007A0507"/>
    <w:rsid w:val="007A284D"/>
    <w:rsid w:val="007A2AA2"/>
    <w:rsid w:val="007A2D52"/>
    <w:rsid w:val="007A38B2"/>
    <w:rsid w:val="007A635E"/>
    <w:rsid w:val="007A63A2"/>
    <w:rsid w:val="007A694E"/>
    <w:rsid w:val="007A7661"/>
    <w:rsid w:val="007B0217"/>
    <w:rsid w:val="007B05B7"/>
    <w:rsid w:val="007B06FD"/>
    <w:rsid w:val="007B0A75"/>
    <w:rsid w:val="007B286D"/>
    <w:rsid w:val="007B2874"/>
    <w:rsid w:val="007B32C1"/>
    <w:rsid w:val="007B3529"/>
    <w:rsid w:val="007B3B6E"/>
    <w:rsid w:val="007B42FF"/>
    <w:rsid w:val="007B4FAA"/>
    <w:rsid w:val="007B77AD"/>
    <w:rsid w:val="007C05A9"/>
    <w:rsid w:val="007C16BE"/>
    <w:rsid w:val="007C50B5"/>
    <w:rsid w:val="007C51C0"/>
    <w:rsid w:val="007C676C"/>
    <w:rsid w:val="007D067C"/>
    <w:rsid w:val="007D097A"/>
    <w:rsid w:val="007D0A0C"/>
    <w:rsid w:val="007D2441"/>
    <w:rsid w:val="007D269B"/>
    <w:rsid w:val="007D331E"/>
    <w:rsid w:val="007D37DD"/>
    <w:rsid w:val="007D5164"/>
    <w:rsid w:val="007D65F4"/>
    <w:rsid w:val="007D738D"/>
    <w:rsid w:val="007D7625"/>
    <w:rsid w:val="007D7F14"/>
    <w:rsid w:val="007E0E52"/>
    <w:rsid w:val="007E209E"/>
    <w:rsid w:val="007E373A"/>
    <w:rsid w:val="007E558A"/>
    <w:rsid w:val="007E5C4F"/>
    <w:rsid w:val="007E68C9"/>
    <w:rsid w:val="007E7521"/>
    <w:rsid w:val="007E7AC6"/>
    <w:rsid w:val="007F2171"/>
    <w:rsid w:val="007F36B8"/>
    <w:rsid w:val="007F3DF5"/>
    <w:rsid w:val="007F48AA"/>
    <w:rsid w:val="007F4DD5"/>
    <w:rsid w:val="007F6939"/>
    <w:rsid w:val="007F7E59"/>
    <w:rsid w:val="0080029F"/>
    <w:rsid w:val="008014E2"/>
    <w:rsid w:val="00804D01"/>
    <w:rsid w:val="00807A0E"/>
    <w:rsid w:val="00810E89"/>
    <w:rsid w:val="00811373"/>
    <w:rsid w:val="008128A3"/>
    <w:rsid w:val="00812FE1"/>
    <w:rsid w:val="00813161"/>
    <w:rsid w:val="008139CE"/>
    <w:rsid w:val="00817164"/>
    <w:rsid w:val="00817BF7"/>
    <w:rsid w:val="00820E86"/>
    <w:rsid w:val="00822918"/>
    <w:rsid w:val="00822F10"/>
    <w:rsid w:val="008230F4"/>
    <w:rsid w:val="008242BF"/>
    <w:rsid w:val="00830133"/>
    <w:rsid w:val="00832428"/>
    <w:rsid w:val="00832D74"/>
    <w:rsid w:val="00834593"/>
    <w:rsid w:val="00837ABB"/>
    <w:rsid w:val="00840726"/>
    <w:rsid w:val="008419C9"/>
    <w:rsid w:val="00845609"/>
    <w:rsid w:val="00846985"/>
    <w:rsid w:val="00846B4C"/>
    <w:rsid w:val="008475B5"/>
    <w:rsid w:val="00851480"/>
    <w:rsid w:val="00852D52"/>
    <w:rsid w:val="00852FAB"/>
    <w:rsid w:val="008550B9"/>
    <w:rsid w:val="00855B8C"/>
    <w:rsid w:val="008578CD"/>
    <w:rsid w:val="00857AB4"/>
    <w:rsid w:val="008613A6"/>
    <w:rsid w:val="00861B34"/>
    <w:rsid w:val="00863320"/>
    <w:rsid w:val="00864244"/>
    <w:rsid w:val="008664B2"/>
    <w:rsid w:val="00866EA7"/>
    <w:rsid w:val="0087231E"/>
    <w:rsid w:val="00873B94"/>
    <w:rsid w:val="008753F1"/>
    <w:rsid w:val="0087569E"/>
    <w:rsid w:val="00875AFD"/>
    <w:rsid w:val="00875F01"/>
    <w:rsid w:val="00876533"/>
    <w:rsid w:val="0087732C"/>
    <w:rsid w:val="00880772"/>
    <w:rsid w:val="00880FDA"/>
    <w:rsid w:val="0088105E"/>
    <w:rsid w:val="00881467"/>
    <w:rsid w:val="00883390"/>
    <w:rsid w:val="008833D8"/>
    <w:rsid w:val="00883D94"/>
    <w:rsid w:val="008852CF"/>
    <w:rsid w:val="00885E70"/>
    <w:rsid w:val="008861AF"/>
    <w:rsid w:val="00886788"/>
    <w:rsid w:val="00886828"/>
    <w:rsid w:val="00886D71"/>
    <w:rsid w:val="0089247F"/>
    <w:rsid w:val="00892867"/>
    <w:rsid w:val="00892E3C"/>
    <w:rsid w:val="0089428E"/>
    <w:rsid w:val="00894364"/>
    <w:rsid w:val="00894B62"/>
    <w:rsid w:val="008955B6"/>
    <w:rsid w:val="008967D0"/>
    <w:rsid w:val="00896C0D"/>
    <w:rsid w:val="00897317"/>
    <w:rsid w:val="008A01A7"/>
    <w:rsid w:val="008A1259"/>
    <w:rsid w:val="008A457B"/>
    <w:rsid w:val="008A5123"/>
    <w:rsid w:val="008A515D"/>
    <w:rsid w:val="008A5D34"/>
    <w:rsid w:val="008B12FD"/>
    <w:rsid w:val="008B1BA3"/>
    <w:rsid w:val="008B31C3"/>
    <w:rsid w:val="008B7F8D"/>
    <w:rsid w:val="008C0260"/>
    <w:rsid w:val="008C08C4"/>
    <w:rsid w:val="008C13A0"/>
    <w:rsid w:val="008C435F"/>
    <w:rsid w:val="008C463A"/>
    <w:rsid w:val="008C49E2"/>
    <w:rsid w:val="008C4C84"/>
    <w:rsid w:val="008C5886"/>
    <w:rsid w:val="008C7970"/>
    <w:rsid w:val="008D0821"/>
    <w:rsid w:val="008D0B7C"/>
    <w:rsid w:val="008D1A96"/>
    <w:rsid w:val="008D341B"/>
    <w:rsid w:val="008D3F4D"/>
    <w:rsid w:val="008D69CD"/>
    <w:rsid w:val="008E0EFF"/>
    <w:rsid w:val="008E3445"/>
    <w:rsid w:val="008E395A"/>
    <w:rsid w:val="008E5AF6"/>
    <w:rsid w:val="008E5B78"/>
    <w:rsid w:val="008E7B48"/>
    <w:rsid w:val="008E7DB1"/>
    <w:rsid w:val="008E7EA5"/>
    <w:rsid w:val="008F0C56"/>
    <w:rsid w:val="008F2AB8"/>
    <w:rsid w:val="008F3DE3"/>
    <w:rsid w:val="008F4BFE"/>
    <w:rsid w:val="008F679B"/>
    <w:rsid w:val="008F7152"/>
    <w:rsid w:val="00901D05"/>
    <w:rsid w:val="00902476"/>
    <w:rsid w:val="009055DD"/>
    <w:rsid w:val="009061FB"/>
    <w:rsid w:val="00907245"/>
    <w:rsid w:val="009074B8"/>
    <w:rsid w:val="00910725"/>
    <w:rsid w:val="009126A7"/>
    <w:rsid w:val="009134CE"/>
    <w:rsid w:val="009144C2"/>
    <w:rsid w:val="0091512E"/>
    <w:rsid w:val="00915836"/>
    <w:rsid w:val="00915D38"/>
    <w:rsid w:val="0091617F"/>
    <w:rsid w:val="00916851"/>
    <w:rsid w:val="00916CAE"/>
    <w:rsid w:val="0092049B"/>
    <w:rsid w:val="009205B6"/>
    <w:rsid w:val="009208F0"/>
    <w:rsid w:val="00921F05"/>
    <w:rsid w:val="00923C51"/>
    <w:rsid w:val="00923D55"/>
    <w:rsid w:val="0092468A"/>
    <w:rsid w:val="00925A31"/>
    <w:rsid w:val="00925C40"/>
    <w:rsid w:val="00926962"/>
    <w:rsid w:val="00927C4F"/>
    <w:rsid w:val="0093179D"/>
    <w:rsid w:val="0093214D"/>
    <w:rsid w:val="00932D5D"/>
    <w:rsid w:val="00933204"/>
    <w:rsid w:val="00933E70"/>
    <w:rsid w:val="00934F8A"/>
    <w:rsid w:val="0093660E"/>
    <w:rsid w:val="00937E5D"/>
    <w:rsid w:val="009406DA"/>
    <w:rsid w:val="009413D9"/>
    <w:rsid w:val="00945DE8"/>
    <w:rsid w:val="00945FE1"/>
    <w:rsid w:val="00946F1A"/>
    <w:rsid w:val="009471EF"/>
    <w:rsid w:val="00950C3F"/>
    <w:rsid w:val="0095101E"/>
    <w:rsid w:val="00952B61"/>
    <w:rsid w:val="00954793"/>
    <w:rsid w:val="0095734D"/>
    <w:rsid w:val="009600E3"/>
    <w:rsid w:val="00960418"/>
    <w:rsid w:val="00960444"/>
    <w:rsid w:val="00960BFB"/>
    <w:rsid w:val="0096183E"/>
    <w:rsid w:val="0096444C"/>
    <w:rsid w:val="00964604"/>
    <w:rsid w:val="009648FD"/>
    <w:rsid w:val="00965327"/>
    <w:rsid w:val="009661DF"/>
    <w:rsid w:val="0096665B"/>
    <w:rsid w:val="009708C0"/>
    <w:rsid w:val="0097103B"/>
    <w:rsid w:val="00971392"/>
    <w:rsid w:val="0097161D"/>
    <w:rsid w:val="009717B2"/>
    <w:rsid w:val="0097240D"/>
    <w:rsid w:val="00973D00"/>
    <w:rsid w:val="00973D50"/>
    <w:rsid w:val="00973E22"/>
    <w:rsid w:val="009745F5"/>
    <w:rsid w:val="009746E9"/>
    <w:rsid w:val="00975CC4"/>
    <w:rsid w:val="009778A5"/>
    <w:rsid w:val="00981A00"/>
    <w:rsid w:val="00981EA2"/>
    <w:rsid w:val="00983415"/>
    <w:rsid w:val="00983BD5"/>
    <w:rsid w:val="0098563C"/>
    <w:rsid w:val="00985DA3"/>
    <w:rsid w:val="0098659D"/>
    <w:rsid w:val="009900FF"/>
    <w:rsid w:val="00990C39"/>
    <w:rsid w:val="00990EA5"/>
    <w:rsid w:val="00991C40"/>
    <w:rsid w:val="00993632"/>
    <w:rsid w:val="009948A4"/>
    <w:rsid w:val="00994B03"/>
    <w:rsid w:val="0099519F"/>
    <w:rsid w:val="00995F07"/>
    <w:rsid w:val="009972F8"/>
    <w:rsid w:val="009A2C15"/>
    <w:rsid w:val="009A330A"/>
    <w:rsid w:val="009A6F1B"/>
    <w:rsid w:val="009A749D"/>
    <w:rsid w:val="009A7AF2"/>
    <w:rsid w:val="009A7D76"/>
    <w:rsid w:val="009A7E95"/>
    <w:rsid w:val="009B0419"/>
    <w:rsid w:val="009B0576"/>
    <w:rsid w:val="009B55C0"/>
    <w:rsid w:val="009B611A"/>
    <w:rsid w:val="009C07A7"/>
    <w:rsid w:val="009C1816"/>
    <w:rsid w:val="009C2028"/>
    <w:rsid w:val="009C2D53"/>
    <w:rsid w:val="009C3BAA"/>
    <w:rsid w:val="009C7B82"/>
    <w:rsid w:val="009D0B6B"/>
    <w:rsid w:val="009D12DB"/>
    <w:rsid w:val="009D24A3"/>
    <w:rsid w:val="009D25F0"/>
    <w:rsid w:val="009D2B11"/>
    <w:rsid w:val="009D5F5C"/>
    <w:rsid w:val="009E04B5"/>
    <w:rsid w:val="009E4400"/>
    <w:rsid w:val="009E5F90"/>
    <w:rsid w:val="009F07F5"/>
    <w:rsid w:val="009F1E24"/>
    <w:rsid w:val="009F214F"/>
    <w:rsid w:val="009F28C8"/>
    <w:rsid w:val="009F2B01"/>
    <w:rsid w:val="009F2C7F"/>
    <w:rsid w:val="009F3440"/>
    <w:rsid w:val="009F482E"/>
    <w:rsid w:val="009F4E64"/>
    <w:rsid w:val="009F6292"/>
    <w:rsid w:val="009F6550"/>
    <w:rsid w:val="009F69F9"/>
    <w:rsid w:val="009F759D"/>
    <w:rsid w:val="00A02AA9"/>
    <w:rsid w:val="00A0308F"/>
    <w:rsid w:val="00A03101"/>
    <w:rsid w:val="00A031C7"/>
    <w:rsid w:val="00A036B7"/>
    <w:rsid w:val="00A04698"/>
    <w:rsid w:val="00A068E9"/>
    <w:rsid w:val="00A0752F"/>
    <w:rsid w:val="00A07C2E"/>
    <w:rsid w:val="00A07ED3"/>
    <w:rsid w:val="00A10B48"/>
    <w:rsid w:val="00A10CFF"/>
    <w:rsid w:val="00A11338"/>
    <w:rsid w:val="00A11A59"/>
    <w:rsid w:val="00A1390E"/>
    <w:rsid w:val="00A15577"/>
    <w:rsid w:val="00A15DE5"/>
    <w:rsid w:val="00A16AA1"/>
    <w:rsid w:val="00A20CF5"/>
    <w:rsid w:val="00A2214D"/>
    <w:rsid w:val="00A228A4"/>
    <w:rsid w:val="00A23227"/>
    <w:rsid w:val="00A24A52"/>
    <w:rsid w:val="00A255EF"/>
    <w:rsid w:val="00A255FD"/>
    <w:rsid w:val="00A2760A"/>
    <w:rsid w:val="00A3048F"/>
    <w:rsid w:val="00A35398"/>
    <w:rsid w:val="00A424D0"/>
    <w:rsid w:val="00A42F5B"/>
    <w:rsid w:val="00A44AB4"/>
    <w:rsid w:val="00A45320"/>
    <w:rsid w:val="00A45C80"/>
    <w:rsid w:val="00A46E2A"/>
    <w:rsid w:val="00A50F7E"/>
    <w:rsid w:val="00A51839"/>
    <w:rsid w:val="00A533B3"/>
    <w:rsid w:val="00A604BA"/>
    <w:rsid w:val="00A60776"/>
    <w:rsid w:val="00A61977"/>
    <w:rsid w:val="00A64BD6"/>
    <w:rsid w:val="00A6519A"/>
    <w:rsid w:val="00A6629D"/>
    <w:rsid w:val="00A67CCF"/>
    <w:rsid w:val="00A67EAB"/>
    <w:rsid w:val="00A67FC6"/>
    <w:rsid w:val="00A70E69"/>
    <w:rsid w:val="00A71016"/>
    <w:rsid w:val="00A72D12"/>
    <w:rsid w:val="00A74029"/>
    <w:rsid w:val="00A76BAC"/>
    <w:rsid w:val="00A774F3"/>
    <w:rsid w:val="00A77501"/>
    <w:rsid w:val="00A77AE1"/>
    <w:rsid w:val="00A77C57"/>
    <w:rsid w:val="00A827ED"/>
    <w:rsid w:val="00A828CA"/>
    <w:rsid w:val="00A82CDA"/>
    <w:rsid w:val="00A83311"/>
    <w:rsid w:val="00A83657"/>
    <w:rsid w:val="00A83916"/>
    <w:rsid w:val="00A84B62"/>
    <w:rsid w:val="00A85342"/>
    <w:rsid w:val="00A86304"/>
    <w:rsid w:val="00A86F14"/>
    <w:rsid w:val="00A87903"/>
    <w:rsid w:val="00A90D8D"/>
    <w:rsid w:val="00A918B9"/>
    <w:rsid w:val="00A91A00"/>
    <w:rsid w:val="00A91DA4"/>
    <w:rsid w:val="00A95313"/>
    <w:rsid w:val="00A97404"/>
    <w:rsid w:val="00A976D0"/>
    <w:rsid w:val="00AA1901"/>
    <w:rsid w:val="00AA1FB4"/>
    <w:rsid w:val="00AA3BF0"/>
    <w:rsid w:val="00AA3CF5"/>
    <w:rsid w:val="00AA7DA1"/>
    <w:rsid w:val="00AB0BE7"/>
    <w:rsid w:val="00AB14F4"/>
    <w:rsid w:val="00AB394B"/>
    <w:rsid w:val="00AB4C11"/>
    <w:rsid w:val="00AB5353"/>
    <w:rsid w:val="00AB54DA"/>
    <w:rsid w:val="00AB65E7"/>
    <w:rsid w:val="00AB72F7"/>
    <w:rsid w:val="00AB7E13"/>
    <w:rsid w:val="00AC176F"/>
    <w:rsid w:val="00AC1E79"/>
    <w:rsid w:val="00AC29C4"/>
    <w:rsid w:val="00AC402F"/>
    <w:rsid w:val="00AC7822"/>
    <w:rsid w:val="00AC782A"/>
    <w:rsid w:val="00AC7AB6"/>
    <w:rsid w:val="00AC7C87"/>
    <w:rsid w:val="00AD1118"/>
    <w:rsid w:val="00AD177F"/>
    <w:rsid w:val="00AD18AD"/>
    <w:rsid w:val="00AD32BC"/>
    <w:rsid w:val="00AD3450"/>
    <w:rsid w:val="00AD3B4B"/>
    <w:rsid w:val="00AD4385"/>
    <w:rsid w:val="00AD4826"/>
    <w:rsid w:val="00AD56E2"/>
    <w:rsid w:val="00AD6F47"/>
    <w:rsid w:val="00AE0FFF"/>
    <w:rsid w:val="00AE150A"/>
    <w:rsid w:val="00AE1853"/>
    <w:rsid w:val="00AE3408"/>
    <w:rsid w:val="00AE49EE"/>
    <w:rsid w:val="00AE4DC7"/>
    <w:rsid w:val="00AE61CE"/>
    <w:rsid w:val="00AE6AAA"/>
    <w:rsid w:val="00AE6CBA"/>
    <w:rsid w:val="00AE7EA6"/>
    <w:rsid w:val="00AE7FC5"/>
    <w:rsid w:val="00AF2AF9"/>
    <w:rsid w:val="00AF2BFF"/>
    <w:rsid w:val="00AF4A10"/>
    <w:rsid w:val="00AF507F"/>
    <w:rsid w:val="00AF5DAA"/>
    <w:rsid w:val="00AF6D6E"/>
    <w:rsid w:val="00AF7586"/>
    <w:rsid w:val="00AF7858"/>
    <w:rsid w:val="00B006D0"/>
    <w:rsid w:val="00B00D4B"/>
    <w:rsid w:val="00B01210"/>
    <w:rsid w:val="00B02F37"/>
    <w:rsid w:val="00B04216"/>
    <w:rsid w:val="00B04E6F"/>
    <w:rsid w:val="00B062B8"/>
    <w:rsid w:val="00B06CBC"/>
    <w:rsid w:val="00B07AA3"/>
    <w:rsid w:val="00B101C8"/>
    <w:rsid w:val="00B10939"/>
    <w:rsid w:val="00B10AEF"/>
    <w:rsid w:val="00B10ED4"/>
    <w:rsid w:val="00B119C7"/>
    <w:rsid w:val="00B120B0"/>
    <w:rsid w:val="00B126CF"/>
    <w:rsid w:val="00B13E35"/>
    <w:rsid w:val="00B154F7"/>
    <w:rsid w:val="00B16458"/>
    <w:rsid w:val="00B16961"/>
    <w:rsid w:val="00B16E61"/>
    <w:rsid w:val="00B16EF5"/>
    <w:rsid w:val="00B21B7C"/>
    <w:rsid w:val="00B22523"/>
    <w:rsid w:val="00B24849"/>
    <w:rsid w:val="00B2699D"/>
    <w:rsid w:val="00B26CA2"/>
    <w:rsid w:val="00B2724C"/>
    <w:rsid w:val="00B308A6"/>
    <w:rsid w:val="00B30B17"/>
    <w:rsid w:val="00B30D4E"/>
    <w:rsid w:val="00B31CD0"/>
    <w:rsid w:val="00B325AB"/>
    <w:rsid w:val="00B33161"/>
    <w:rsid w:val="00B3350D"/>
    <w:rsid w:val="00B345AA"/>
    <w:rsid w:val="00B34C94"/>
    <w:rsid w:val="00B35106"/>
    <w:rsid w:val="00B41160"/>
    <w:rsid w:val="00B41A21"/>
    <w:rsid w:val="00B43448"/>
    <w:rsid w:val="00B43469"/>
    <w:rsid w:val="00B43719"/>
    <w:rsid w:val="00B43C3B"/>
    <w:rsid w:val="00B4710C"/>
    <w:rsid w:val="00B47E52"/>
    <w:rsid w:val="00B52D69"/>
    <w:rsid w:val="00B52EF9"/>
    <w:rsid w:val="00B534A3"/>
    <w:rsid w:val="00B5538B"/>
    <w:rsid w:val="00B56AF6"/>
    <w:rsid w:val="00B60A54"/>
    <w:rsid w:val="00B613DD"/>
    <w:rsid w:val="00B62271"/>
    <w:rsid w:val="00B62D86"/>
    <w:rsid w:val="00B63D45"/>
    <w:rsid w:val="00B64F7A"/>
    <w:rsid w:val="00B64F8B"/>
    <w:rsid w:val="00B65E0D"/>
    <w:rsid w:val="00B662E1"/>
    <w:rsid w:val="00B67DBC"/>
    <w:rsid w:val="00B72122"/>
    <w:rsid w:val="00B72BC5"/>
    <w:rsid w:val="00B72ECA"/>
    <w:rsid w:val="00B72ECF"/>
    <w:rsid w:val="00B77E23"/>
    <w:rsid w:val="00B80FF1"/>
    <w:rsid w:val="00B828D0"/>
    <w:rsid w:val="00B82FE4"/>
    <w:rsid w:val="00B83A08"/>
    <w:rsid w:val="00B8426A"/>
    <w:rsid w:val="00B852A9"/>
    <w:rsid w:val="00B85F2B"/>
    <w:rsid w:val="00B87240"/>
    <w:rsid w:val="00B87706"/>
    <w:rsid w:val="00B904D6"/>
    <w:rsid w:val="00B9193E"/>
    <w:rsid w:val="00B91D86"/>
    <w:rsid w:val="00B926C6"/>
    <w:rsid w:val="00B933B1"/>
    <w:rsid w:val="00B93B9A"/>
    <w:rsid w:val="00B93C21"/>
    <w:rsid w:val="00B93D58"/>
    <w:rsid w:val="00B9409C"/>
    <w:rsid w:val="00B94B0E"/>
    <w:rsid w:val="00B951EA"/>
    <w:rsid w:val="00B958EB"/>
    <w:rsid w:val="00B95C54"/>
    <w:rsid w:val="00B96661"/>
    <w:rsid w:val="00BA1323"/>
    <w:rsid w:val="00BA14F1"/>
    <w:rsid w:val="00BA4F36"/>
    <w:rsid w:val="00BA731C"/>
    <w:rsid w:val="00BB0684"/>
    <w:rsid w:val="00BB23B7"/>
    <w:rsid w:val="00BB3171"/>
    <w:rsid w:val="00BB3693"/>
    <w:rsid w:val="00BB461B"/>
    <w:rsid w:val="00BB59B8"/>
    <w:rsid w:val="00BB79BC"/>
    <w:rsid w:val="00BC110E"/>
    <w:rsid w:val="00BC1C0A"/>
    <w:rsid w:val="00BC2FB6"/>
    <w:rsid w:val="00BC3205"/>
    <w:rsid w:val="00BC5A04"/>
    <w:rsid w:val="00BC5A6D"/>
    <w:rsid w:val="00BC5AC2"/>
    <w:rsid w:val="00BC7883"/>
    <w:rsid w:val="00BC7A28"/>
    <w:rsid w:val="00BC7ECC"/>
    <w:rsid w:val="00BD06BE"/>
    <w:rsid w:val="00BD15D9"/>
    <w:rsid w:val="00BD2207"/>
    <w:rsid w:val="00BD3768"/>
    <w:rsid w:val="00BD3D78"/>
    <w:rsid w:val="00BD6751"/>
    <w:rsid w:val="00BE4402"/>
    <w:rsid w:val="00BE594B"/>
    <w:rsid w:val="00BE655F"/>
    <w:rsid w:val="00BE6D38"/>
    <w:rsid w:val="00BE772D"/>
    <w:rsid w:val="00BF167D"/>
    <w:rsid w:val="00BF23EF"/>
    <w:rsid w:val="00BF5032"/>
    <w:rsid w:val="00BF53B3"/>
    <w:rsid w:val="00BF53C3"/>
    <w:rsid w:val="00BF6CA6"/>
    <w:rsid w:val="00BF7DC3"/>
    <w:rsid w:val="00C023DA"/>
    <w:rsid w:val="00C06007"/>
    <w:rsid w:val="00C0701B"/>
    <w:rsid w:val="00C1036D"/>
    <w:rsid w:val="00C1462A"/>
    <w:rsid w:val="00C1677D"/>
    <w:rsid w:val="00C21713"/>
    <w:rsid w:val="00C219D2"/>
    <w:rsid w:val="00C225C7"/>
    <w:rsid w:val="00C2369F"/>
    <w:rsid w:val="00C25AC9"/>
    <w:rsid w:val="00C268D6"/>
    <w:rsid w:val="00C269B2"/>
    <w:rsid w:val="00C309B7"/>
    <w:rsid w:val="00C3221F"/>
    <w:rsid w:val="00C32E93"/>
    <w:rsid w:val="00C36CB0"/>
    <w:rsid w:val="00C40BF5"/>
    <w:rsid w:val="00C40F7E"/>
    <w:rsid w:val="00C40FF7"/>
    <w:rsid w:val="00C41DAE"/>
    <w:rsid w:val="00C42423"/>
    <w:rsid w:val="00C42ADD"/>
    <w:rsid w:val="00C43030"/>
    <w:rsid w:val="00C435FB"/>
    <w:rsid w:val="00C43E11"/>
    <w:rsid w:val="00C44169"/>
    <w:rsid w:val="00C4421D"/>
    <w:rsid w:val="00C47C75"/>
    <w:rsid w:val="00C47E76"/>
    <w:rsid w:val="00C50180"/>
    <w:rsid w:val="00C5039F"/>
    <w:rsid w:val="00C5235C"/>
    <w:rsid w:val="00C529A0"/>
    <w:rsid w:val="00C52C1E"/>
    <w:rsid w:val="00C54BFB"/>
    <w:rsid w:val="00C5540A"/>
    <w:rsid w:val="00C55AC3"/>
    <w:rsid w:val="00C56A9D"/>
    <w:rsid w:val="00C56BE4"/>
    <w:rsid w:val="00C571A0"/>
    <w:rsid w:val="00C5769F"/>
    <w:rsid w:val="00C60EC4"/>
    <w:rsid w:val="00C6154F"/>
    <w:rsid w:val="00C61D31"/>
    <w:rsid w:val="00C63A56"/>
    <w:rsid w:val="00C65496"/>
    <w:rsid w:val="00C65D3E"/>
    <w:rsid w:val="00C661F5"/>
    <w:rsid w:val="00C673DD"/>
    <w:rsid w:val="00C70531"/>
    <w:rsid w:val="00C7189C"/>
    <w:rsid w:val="00C732B0"/>
    <w:rsid w:val="00C759F9"/>
    <w:rsid w:val="00C7628C"/>
    <w:rsid w:val="00C77A92"/>
    <w:rsid w:val="00C82FFA"/>
    <w:rsid w:val="00C832DA"/>
    <w:rsid w:val="00C83BE0"/>
    <w:rsid w:val="00C8539D"/>
    <w:rsid w:val="00C90373"/>
    <w:rsid w:val="00C90CAE"/>
    <w:rsid w:val="00C90CE0"/>
    <w:rsid w:val="00C90DC8"/>
    <w:rsid w:val="00C94437"/>
    <w:rsid w:val="00C94562"/>
    <w:rsid w:val="00C96896"/>
    <w:rsid w:val="00CA1954"/>
    <w:rsid w:val="00CA1F7F"/>
    <w:rsid w:val="00CA23CB"/>
    <w:rsid w:val="00CA2A73"/>
    <w:rsid w:val="00CA2A89"/>
    <w:rsid w:val="00CA3FBD"/>
    <w:rsid w:val="00CA5E4B"/>
    <w:rsid w:val="00CA6241"/>
    <w:rsid w:val="00CA7529"/>
    <w:rsid w:val="00CB0370"/>
    <w:rsid w:val="00CB14A2"/>
    <w:rsid w:val="00CB479D"/>
    <w:rsid w:val="00CB5272"/>
    <w:rsid w:val="00CB622D"/>
    <w:rsid w:val="00CB6F92"/>
    <w:rsid w:val="00CB717B"/>
    <w:rsid w:val="00CB783A"/>
    <w:rsid w:val="00CB7D85"/>
    <w:rsid w:val="00CC066A"/>
    <w:rsid w:val="00CC2C04"/>
    <w:rsid w:val="00CC3994"/>
    <w:rsid w:val="00CC40EB"/>
    <w:rsid w:val="00CC75BA"/>
    <w:rsid w:val="00CD041E"/>
    <w:rsid w:val="00CD1D9C"/>
    <w:rsid w:val="00CD4C1F"/>
    <w:rsid w:val="00CD50A9"/>
    <w:rsid w:val="00CD73FB"/>
    <w:rsid w:val="00CD7B4A"/>
    <w:rsid w:val="00CE015F"/>
    <w:rsid w:val="00CE03A6"/>
    <w:rsid w:val="00CE05F4"/>
    <w:rsid w:val="00CE0F2A"/>
    <w:rsid w:val="00CE5968"/>
    <w:rsid w:val="00CE5C5E"/>
    <w:rsid w:val="00CE76FB"/>
    <w:rsid w:val="00CF0084"/>
    <w:rsid w:val="00CF0322"/>
    <w:rsid w:val="00CF03B6"/>
    <w:rsid w:val="00CF18A0"/>
    <w:rsid w:val="00CF3DFC"/>
    <w:rsid w:val="00CF478E"/>
    <w:rsid w:val="00CF4D3D"/>
    <w:rsid w:val="00CF614F"/>
    <w:rsid w:val="00CF6873"/>
    <w:rsid w:val="00CF7586"/>
    <w:rsid w:val="00CF7956"/>
    <w:rsid w:val="00CF7BB7"/>
    <w:rsid w:val="00D01A6C"/>
    <w:rsid w:val="00D032E9"/>
    <w:rsid w:val="00D042BF"/>
    <w:rsid w:val="00D10BC5"/>
    <w:rsid w:val="00D10DDE"/>
    <w:rsid w:val="00D110E1"/>
    <w:rsid w:val="00D11D9F"/>
    <w:rsid w:val="00D14432"/>
    <w:rsid w:val="00D147D5"/>
    <w:rsid w:val="00D148B9"/>
    <w:rsid w:val="00D15035"/>
    <w:rsid w:val="00D16A20"/>
    <w:rsid w:val="00D16C03"/>
    <w:rsid w:val="00D205A2"/>
    <w:rsid w:val="00D212A1"/>
    <w:rsid w:val="00D21C88"/>
    <w:rsid w:val="00D22A0C"/>
    <w:rsid w:val="00D22D73"/>
    <w:rsid w:val="00D24885"/>
    <w:rsid w:val="00D25BDF"/>
    <w:rsid w:val="00D26A80"/>
    <w:rsid w:val="00D27D47"/>
    <w:rsid w:val="00D27DD2"/>
    <w:rsid w:val="00D30353"/>
    <w:rsid w:val="00D30460"/>
    <w:rsid w:val="00D30884"/>
    <w:rsid w:val="00D31C2C"/>
    <w:rsid w:val="00D32646"/>
    <w:rsid w:val="00D329A7"/>
    <w:rsid w:val="00D33011"/>
    <w:rsid w:val="00D349AA"/>
    <w:rsid w:val="00D349FB"/>
    <w:rsid w:val="00D363CB"/>
    <w:rsid w:val="00D40F7A"/>
    <w:rsid w:val="00D40FD3"/>
    <w:rsid w:val="00D457F8"/>
    <w:rsid w:val="00D46CC5"/>
    <w:rsid w:val="00D46E1F"/>
    <w:rsid w:val="00D47DF0"/>
    <w:rsid w:val="00D516B7"/>
    <w:rsid w:val="00D53FAE"/>
    <w:rsid w:val="00D57BB9"/>
    <w:rsid w:val="00D57F10"/>
    <w:rsid w:val="00D61964"/>
    <w:rsid w:val="00D621A6"/>
    <w:rsid w:val="00D623D2"/>
    <w:rsid w:val="00D637DF"/>
    <w:rsid w:val="00D6577B"/>
    <w:rsid w:val="00D66164"/>
    <w:rsid w:val="00D66397"/>
    <w:rsid w:val="00D66B06"/>
    <w:rsid w:val="00D715E9"/>
    <w:rsid w:val="00D71CA7"/>
    <w:rsid w:val="00D71F53"/>
    <w:rsid w:val="00D7457D"/>
    <w:rsid w:val="00D74C33"/>
    <w:rsid w:val="00D757D5"/>
    <w:rsid w:val="00D761A3"/>
    <w:rsid w:val="00D77C4B"/>
    <w:rsid w:val="00D81165"/>
    <w:rsid w:val="00D81661"/>
    <w:rsid w:val="00D81FCC"/>
    <w:rsid w:val="00D824EF"/>
    <w:rsid w:val="00D829FD"/>
    <w:rsid w:val="00D83C88"/>
    <w:rsid w:val="00D83DCF"/>
    <w:rsid w:val="00D850BC"/>
    <w:rsid w:val="00D8622B"/>
    <w:rsid w:val="00D865B5"/>
    <w:rsid w:val="00D866C1"/>
    <w:rsid w:val="00D867E0"/>
    <w:rsid w:val="00D871BD"/>
    <w:rsid w:val="00D90955"/>
    <w:rsid w:val="00D91A00"/>
    <w:rsid w:val="00D9234A"/>
    <w:rsid w:val="00D941E6"/>
    <w:rsid w:val="00D964FF"/>
    <w:rsid w:val="00D96502"/>
    <w:rsid w:val="00DA1EBE"/>
    <w:rsid w:val="00DA3249"/>
    <w:rsid w:val="00DB0B98"/>
    <w:rsid w:val="00DB1FCD"/>
    <w:rsid w:val="00DB237D"/>
    <w:rsid w:val="00DB250B"/>
    <w:rsid w:val="00DB2F73"/>
    <w:rsid w:val="00DB3FAD"/>
    <w:rsid w:val="00DB61A7"/>
    <w:rsid w:val="00DB62C9"/>
    <w:rsid w:val="00DB7CC4"/>
    <w:rsid w:val="00DB7D65"/>
    <w:rsid w:val="00DC0A81"/>
    <w:rsid w:val="00DC0A92"/>
    <w:rsid w:val="00DC33B1"/>
    <w:rsid w:val="00DC428B"/>
    <w:rsid w:val="00DC476C"/>
    <w:rsid w:val="00DC4D98"/>
    <w:rsid w:val="00DC5D63"/>
    <w:rsid w:val="00DC631A"/>
    <w:rsid w:val="00DD00DA"/>
    <w:rsid w:val="00DD0676"/>
    <w:rsid w:val="00DD1A74"/>
    <w:rsid w:val="00DD4425"/>
    <w:rsid w:val="00DD4F3A"/>
    <w:rsid w:val="00DD576E"/>
    <w:rsid w:val="00DD5A97"/>
    <w:rsid w:val="00DD6F21"/>
    <w:rsid w:val="00DE021C"/>
    <w:rsid w:val="00DE2AE2"/>
    <w:rsid w:val="00DE30C1"/>
    <w:rsid w:val="00DE3E36"/>
    <w:rsid w:val="00DE3FEE"/>
    <w:rsid w:val="00DE44EF"/>
    <w:rsid w:val="00DE67AB"/>
    <w:rsid w:val="00DE767B"/>
    <w:rsid w:val="00DE7857"/>
    <w:rsid w:val="00DF073F"/>
    <w:rsid w:val="00DF0789"/>
    <w:rsid w:val="00DF09FA"/>
    <w:rsid w:val="00DF1CA1"/>
    <w:rsid w:val="00DF2AD7"/>
    <w:rsid w:val="00DF31B8"/>
    <w:rsid w:val="00DF3249"/>
    <w:rsid w:val="00DF4AC5"/>
    <w:rsid w:val="00DF4D82"/>
    <w:rsid w:val="00DF555C"/>
    <w:rsid w:val="00DF774D"/>
    <w:rsid w:val="00E00361"/>
    <w:rsid w:val="00E01282"/>
    <w:rsid w:val="00E0158C"/>
    <w:rsid w:val="00E01745"/>
    <w:rsid w:val="00E0196E"/>
    <w:rsid w:val="00E04E07"/>
    <w:rsid w:val="00E05D93"/>
    <w:rsid w:val="00E074E9"/>
    <w:rsid w:val="00E10514"/>
    <w:rsid w:val="00E11224"/>
    <w:rsid w:val="00E114F0"/>
    <w:rsid w:val="00E11E5B"/>
    <w:rsid w:val="00E13DC8"/>
    <w:rsid w:val="00E21AA4"/>
    <w:rsid w:val="00E21D90"/>
    <w:rsid w:val="00E235D8"/>
    <w:rsid w:val="00E23632"/>
    <w:rsid w:val="00E2450D"/>
    <w:rsid w:val="00E256D7"/>
    <w:rsid w:val="00E30870"/>
    <w:rsid w:val="00E30C6F"/>
    <w:rsid w:val="00E30C8B"/>
    <w:rsid w:val="00E31706"/>
    <w:rsid w:val="00E33F3A"/>
    <w:rsid w:val="00E33FE3"/>
    <w:rsid w:val="00E34481"/>
    <w:rsid w:val="00E36414"/>
    <w:rsid w:val="00E36A10"/>
    <w:rsid w:val="00E3737F"/>
    <w:rsid w:val="00E41A72"/>
    <w:rsid w:val="00E42038"/>
    <w:rsid w:val="00E425A0"/>
    <w:rsid w:val="00E42D00"/>
    <w:rsid w:val="00E42DB1"/>
    <w:rsid w:val="00E45346"/>
    <w:rsid w:val="00E45EA3"/>
    <w:rsid w:val="00E4687B"/>
    <w:rsid w:val="00E46E2F"/>
    <w:rsid w:val="00E470A2"/>
    <w:rsid w:val="00E50653"/>
    <w:rsid w:val="00E512D3"/>
    <w:rsid w:val="00E51405"/>
    <w:rsid w:val="00E54342"/>
    <w:rsid w:val="00E54457"/>
    <w:rsid w:val="00E56714"/>
    <w:rsid w:val="00E5748E"/>
    <w:rsid w:val="00E60A6E"/>
    <w:rsid w:val="00E60D38"/>
    <w:rsid w:val="00E620E2"/>
    <w:rsid w:val="00E623A0"/>
    <w:rsid w:val="00E63058"/>
    <w:rsid w:val="00E63110"/>
    <w:rsid w:val="00E6393E"/>
    <w:rsid w:val="00E647AB"/>
    <w:rsid w:val="00E67BCB"/>
    <w:rsid w:val="00E70D02"/>
    <w:rsid w:val="00E73CB2"/>
    <w:rsid w:val="00E763F7"/>
    <w:rsid w:val="00E80A66"/>
    <w:rsid w:val="00E811A4"/>
    <w:rsid w:val="00E82F44"/>
    <w:rsid w:val="00E83C33"/>
    <w:rsid w:val="00E86CEE"/>
    <w:rsid w:val="00E86D8F"/>
    <w:rsid w:val="00E872FF"/>
    <w:rsid w:val="00E87910"/>
    <w:rsid w:val="00E91E01"/>
    <w:rsid w:val="00E945BD"/>
    <w:rsid w:val="00E95A20"/>
    <w:rsid w:val="00E96342"/>
    <w:rsid w:val="00E96713"/>
    <w:rsid w:val="00E96D78"/>
    <w:rsid w:val="00E976EB"/>
    <w:rsid w:val="00EA362B"/>
    <w:rsid w:val="00EA37F2"/>
    <w:rsid w:val="00EA4C9F"/>
    <w:rsid w:val="00EA5A95"/>
    <w:rsid w:val="00EB2B83"/>
    <w:rsid w:val="00EB4102"/>
    <w:rsid w:val="00EB589E"/>
    <w:rsid w:val="00EB5D02"/>
    <w:rsid w:val="00EB79CB"/>
    <w:rsid w:val="00EC08E0"/>
    <w:rsid w:val="00EC097F"/>
    <w:rsid w:val="00EC115A"/>
    <w:rsid w:val="00EC1A5B"/>
    <w:rsid w:val="00EC21A6"/>
    <w:rsid w:val="00EC4B14"/>
    <w:rsid w:val="00EC4BB1"/>
    <w:rsid w:val="00EC4CF8"/>
    <w:rsid w:val="00EC53E5"/>
    <w:rsid w:val="00EC60B7"/>
    <w:rsid w:val="00EC6898"/>
    <w:rsid w:val="00EC7084"/>
    <w:rsid w:val="00ED0812"/>
    <w:rsid w:val="00ED0E35"/>
    <w:rsid w:val="00ED1849"/>
    <w:rsid w:val="00ED1C1A"/>
    <w:rsid w:val="00ED3A69"/>
    <w:rsid w:val="00ED4037"/>
    <w:rsid w:val="00ED5DC6"/>
    <w:rsid w:val="00ED692B"/>
    <w:rsid w:val="00ED7D80"/>
    <w:rsid w:val="00EE1143"/>
    <w:rsid w:val="00EE15CD"/>
    <w:rsid w:val="00EE3B9C"/>
    <w:rsid w:val="00EE3E68"/>
    <w:rsid w:val="00EE3FD1"/>
    <w:rsid w:val="00EE47C5"/>
    <w:rsid w:val="00EE4F9C"/>
    <w:rsid w:val="00EE5455"/>
    <w:rsid w:val="00EE55C8"/>
    <w:rsid w:val="00EE71A2"/>
    <w:rsid w:val="00EE7A37"/>
    <w:rsid w:val="00EE7AC3"/>
    <w:rsid w:val="00EF19EB"/>
    <w:rsid w:val="00EF24C6"/>
    <w:rsid w:val="00EF3065"/>
    <w:rsid w:val="00EF40D7"/>
    <w:rsid w:val="00EF48D4"/>
    <w:rsid w:val="00EF5E25"/>
    <w:rsid w:val="00F00F61"/>
    <w:rsid w:val="00F01175"/>
    <w:rsid w:val="00F03A05"/>
    <w:rsid w:val="00F07B13"/>
    <w:rsid w:val="00F10669"/>
    <w:rsid w:val="00F11F4E"/>
    <w:rsid w:val="00F12676"/>
    <w:rsid w:val="00F12BDD"/>
    <w:rsid w:val="00F12FF5"/>
    <w:rsid w:val="00F133BA"/>
    <w:rsid w:val="00F1348C"/>
    <w:rsid w:val="00F17357"/>
    <w:rsid w:val="00F2004E"/>
    <w:rsid w:val="00F22F55"/>
    <w:rsid w:val="00F23A8D"/>
    <w:rsid w:val="00F23E13"/>
    <w:rsid w:val="00F33569"/>
    <w:rsid w:val="00F335E6"/>
    <w:rsid w:val="00F347B6"/>
    <w:rsid w:val="00F34CEA"/>
    <w:rsid w:val="00F35203"/>
    <w:rsid w:val="00F35E9D"/>
    <w:rsid w:val="00F36ACA"/>
    <w:rsid w:val="00F406E7"/>
    <w:rsid w:val="00F411F4"/>
    <w:rsid w:val="00F41C82"/>
    <w:rsid w:val="00F426D6"/>
    <w:rsid w:val="00F42775"/>
    <w:rsid w:val="00F42BAA"/>
    <w:rsid w:val="00F4353C"/>
    <w:rsid w:val="00F438AB"/>
    <w:rsid w:val="00F43BFB"/>
    <w:rsid w:val="00F44EE0"/>
    <w:rsid w:val="00F450DC"/>
    <w:rsid w:val="00F45A04"/>
    <w:rsid w:val="00F466D5"/>
    <w:rsid w:val="00F467D1"/>
    <w:rsid w:val="00F46E00"/>
    <w:rsid w:val="00F4762F"/>
    <w:rsid w:val="00F47A91"/>
    <w:rsid w:val="00F51797"/>
    <w:rsid w:val="00F53459"/>
    <w:rsid w:val="00F541E5"/>
    <w:rsid w:val="00F54512"/>
    <w:rsid w:val="00F56119"/>
    <w:rsid w:val="00F562FB"/>
    <w:rsid w:val="00F57504"/>
    <w:rsid w:val="00F600A3"/>
    <w:rsid w:val="00F61C24"/>
    <w:rsid w:val="00F63BAF"/>
    <w:rsid w:val="00F653DD"/>
    <w:rsid w:val="00F7064B"/>
    <w:rsid w:val="00F721DB"/>
    <w:rsid w:val="00F73416"/>
    <w:rsid w:val="00F73E77"/>
    <w:rsid w:val="00F7424A"/>
    <w:rsid w:val="00F77332"/>
    <w:rsid w:val="00F774CF"/>
    <w:rsid w:val="00F77890"/>
    <w:rsid w:val="00F77BD0"/>
    <w:rsid w:val="00F82996"/>
    <w:rsid w:val="00F84120"/>
    <w:rsid w:val="00F85400"/>
    <w:rsid w:val="00F91070"/>
    <w:rsid w:val="00F938DF"/>
    <w:rsid w:val="00F93950"/>
    <w:rsid w:val="00F94567"/>
    <w:rsid w:val="00F94AB3"/>
    <w:rsid w:val="00F96140"/>
    <w:rsid w:val="00F96C41"/>
    <w:rsid w:val="00F97384"/>
    <w:rsid w:val="00F97FE9"/>
    <w:rsid w:val="00FA0D8E"/>
    <w:rsid w:val="00FA2FF2"/>
    <w:rsid w:val="00FA4A21"/>
    <w:rsid w:val="00FA4CF3"/>
    <w:rsid w:val="00FA7BAC"/>
    <w:rsid w:val="00FB2748"/>
    <w:rsid w:val="00FB2C3F"/>
    <w:rsid w:val="00FB32E8"/>
    <w:rsid w:val="00FC1D84"/>
    <w:rsid w:val="00FC3505"/>
    <w:rsid w:val="00FC4270"/>
    <w:rsid w:val="00FC496C"/>
    <w:rsid w:val="00FC4A88"/>
    <w:rsid w:val="00FC591F"/>
    <w:rsid w:val="00FC5A99"/>
    <w:rsid w:val="00FC74FC"/>
    <w:rsid w:val="00FD03E8"/>
    <w:rsid w:val="00FD16DC"/>
    <w:rsid w:val="00FD27E4"/>
    <w:rsid w:val="00FD3949"/>
    <w:rsid w:val="00FD3986"/>
    <w:rsid w:val="00FD675C"/>
    <w:rsid w:val="00FD6B05"/>
    <w:rsid w:val="00FE0ADF"/>
    <w:rsid w:val="00FE1AC8"/>
    <w:rsid w:val="00FE259D"/>
    <w:rsid w:val="00FE452F"/>
    <w:rsid w:val="00FE4608"/>
    <w:rsid w:val="00FE4D9A"/>
    <w:rsid w:val="00FE5A14"/>
    <w:rsid w:val="00FE5DA4"/>
    <w:rsid w:val="00FE6DAE"/>
    <w:rsid w:val="00FE74B0"/>
    <w:rsid w:val="00FE7E3E"/>
    <w:rsid w:val="00FF0D5F"/>
    <w:rsid w:val="00FF1A89"/>
    <w:rsid w:val="00FF41AC"/>
    <w:rsid w:val="00FF56B7"/>
    <w:rsid w:val="00FF686F"/>
    <w:rsid w:val="00FF760F"/>
    <w:rsid w:val="3F7D2DC7"/>
    <w:rsid w:val="6680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C7A82"/>
  <w15:chartTrackingRefBased/>
  <w15:docId w15:val="{D0B850AC-CB19-4071-9C3C-E1DF27D7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color w:val="3B3B3B"/>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7"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11F"/>
    <w:pPr>
      <w:spacing w:after="200" w:line="276" w:lineRule="auto"/>
    </w:pPr>
    <w:rPr>
      <w:rFonts w:ascii="Arial" w:eastAsia="Cambria" w:hAnsi="Arial" w:cs="Times New Roman"/>
      <w:color w:val="auto"/>
      <w:kern w:val="24"/>
      <w:sz w:val="24"/>
      <w:szCs w:val="24"/>
      <w:lang w:val="en-US"/>
    </w:rPr>
  </w:style>
  <w:style w:type="paragraph" w:styleId="Heading1">
    <w:name w:val="heading 1"/>
    <w:basedOn w:val="Normal"/>
    <w:next w:val="Normal"/>
    <w:link w:val="Heading1Char"/>
    <w:uiPriority w:val="9"/>
    <w:qFormat/>
    <w:rsid w:val="00902476"/>
    <w:pPr>
      <w:keepNext/>
      <w:keepLines/>
      <w:spacing w:before="240" w:after="0"/>
      <w:outlineLvl w:val="0"/>
    </w:pPr>
    <w:rPr>
      <w:rFonts w:asciiTheme="majorHAnsi" w:eastAsiaTheme="majorEastAsia" w:hAnsiTheme="majorHAnsi" w:cstheme="majorBidi"/>
      <w:b/>
      <w:sz w:val="32"/>
      <w:szCs w:val="32"/>
      <w:lang w:val="en-AU" w:eastAsia="zh-CN"/>
    </w:rPr>
  </w:style>
  <w:style w:type="paragraph" w:styleId="Heading2">
    <w:name w:val="heading 2"/>
    <w:basedOn w:val="Normal"/>
    <w:next w:val="Normal"/>
    <w:link w:val="Heading2Char"/>
    <w:uiPriority w:val="9"/>
    <w:unhideWhenUsed/>
    <w:qFormat/>
    <w:rsid w:val="00902476"/>
    <w:pPr>
      <w:keepNext/>
      <w:keepLines/>
      <w:spacing w:before="40" w:after="0"/>
      <w:outlineLvl w:val="1"/>
    </w:pPr>
    <w:rPr>
      <w:rFonts w:asciiTheme="majorHAnsi" w:eastAsiaTheme="majorEastAsia" w:hAnsiTheme="majorHAnsi" w:cstheme="majorBidi"/>
      <w:b/>
      <w:sz w:val="28"/>
      <w:szCs w:val="26"/>
      <w:lang w:val="en-AU" w:eastAsia="zh-CN"/>
    </w:rPr>
  </w:style>
  <w:style w:type="paragraph" w:styleId="Heading3">
    <w:name w:val="heading 3"/>
    <w:basedOn w:val="Normal"/>
    <w:next w:val="Normal"/>
    <w:link w:val="Heading3Char"/>
    <w:uiPriority w:val="9"/>
    <w:unhideWhenUsed/>
    <w:qFormat/>
    <w:rsid w:val="00902476"/>
    <w:pPr>
      <w:keepNext/>
      <w:keepLines/>
      <w:spacing w:before="40" w:after="0"/>
      <w:outlineLvl w:val="2"/>
    </w:pPr>
    <w:rPr>
      <w:rFonts w:asciiTheme="majorHAnsi" w:eastAsiaTheme="majorEastAsia" w:hAnsiTheme="majorHAnsi" w:cstheme="majorBidi"/>
      <w:b/>
      <w:lang w:val="en-AU" w:eastAsia="zh-CN"/>
    </w:rPr>
  </w:style>
  <w:style w:type="paragraph" w:styleId="Heading4">
    <w:name w:val="heading 4"/>
    <w:basedOn w:val="Normal"/>
    <w:next w:val="Normal"/>
    <w:link w:val="Heading4Char"/>
    <w:uiPriority w:val="9"/>
    <w:unhideWhenUsed/>
    <w:qFormat/>
    <w:rsid w:val="00902476"/>
    <w:pPr>
      <w:keepNext/>
      <w:keepLines/>
      <w:spacing w:before="40" w:after="0"/>
      <w:outlineLvl w:val="3"/>
    </w:pPr>
    <w:rPr>
      <w:rFonts w:asciiTheme="majorHAnsi" w:eastAsiaTheme="majorEastAsia" w:hAnsiTheme="majorHAnsi" w:cstheme="majorBidi"/>
      <w:b/>
      <w:iCs/>
      <w:color w:val="FCB04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gLine">
    <w:name w:val="Footer - TagLine"/>
    <w:basedOn w:val="Footer"/>
    <w:uiPriority w:val="99"/>
    <w:qFormat/>
    <w:rsid w:val="00902476"/>
    <w:pPr>
      <w:pBdr>
        <w:top w:val="single" w:sz="4" w:space="1" w:color="D9D9D9" w:themeColor="background1" w:themeShade="D9"/>
      </w:pBdr>
    </w:pPr>
    <w:rPr>
      <w:rFonts w:cs="Arial"/>
      <w:noProof/>
      <w:color w:val="5F6062"/>
      <w:spacing w:val="30"/>
      <w:sz w:val="20"/>
      <w:lang w:eastAsia="en-GB"/>
    </w:rPr>
  </w:style>
  <w:style w:type="paragraph" w:styleId="Footer">
    <w:name w:val="footer"/>
    <w:basedOn w:val="Normal"/>
    <w:link w:val="FooterChar"/>
    <w:uiPriority w:val="99"/>
    <w:unhideWhenUsed/>
    <w:rsid w:val="00902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76"/>
  </w:style>
  <w:style w:type="paragraph" w:customStyle="1" w:styleId="QuoteReference">
    <w:name w:val="Quote Reference"/>
    <w:basedOn w:val="Quote"/>
    <w:uiPriority w:val="35"/>
    <w:qFormat/>
    <w:rsid w:val="00902476"/>
    <w:pPr>
      <w:ind w:left="851"/>
    </w:pPr>
    <w:rPr>
      <w:color w:val="5F6062"/>
      <w:sz w:val="24"/>
    </w:rPr>
  </w:style>
  <w:style w:type="paragraph" w:styleId="Quote">
    <w:name w:val="Quote"/>
    <w:basedOn w:val="Normal"/>
    <w:next w:val="Normal"/>
    <w:link w:val="QuoteChar"/>
    <w:uiPriority w:val="34"/>
    <w:qFormat/>
    <w:rsid w:val="00902476"/>
    <w:pPr>
      <w:spacing w:before="120" w:after="120" w:line="240" w:lineRule="auto"/>
      <w:ind w:left="284" w:right="284"/>
    </w:pPr>
    <w:rPr>
      <w:iCs/>
      <w:color w:val="FCB040"/>
      <w:sz w:val="32"/>
    </w:rPr>
  </w:style>
  <w:style w:type="character" w:customStyle="1" w:styleId="QuoteChar">
    <w:name w:val="Quote Char"/>
    <w:basedOn w:val="DefaultParagraphFont"/>
    <w:link w:val="Quote"/>
    <w:uiPriority w:val="34"/>
    <w:rsid w:val="00902476"/>
    <w:rPr>
      <w:iCs/>
      <w:color w:val="FCB040"/>
      <w:sz w:val="32"/>
    </w:rPr>
  </w:style>
  <w:style w:type="paragraph" w:customStyle="1" w:styleId="TblSectionHeading1">
    <w:name w:val="TblSection Heading 1"/>
    <w:basedOn w:val="NoSpacing"/>
    <w:link w:val="TblSectionHeading1Char"/>
    <w:uiPriority w:val="49"/>
    <w:qFormat/>
    <w:rsid w:val="00902476"/>
    <w:rPr>
      <w:color w:val="FFFFFF" w:themeColor="background1"/>
      <w:sz w:val="36"/>
    </w:rPr>
  </w:style>
  <w:style w:type="character" w:customStyle="1" w:styleId="TblSectionHeading1Char">
    <w:name w:val="TblSection Heading 1 Char"/>
    <w:basedOn w:val="NoSpacingChar"/>
    <w:link w:val="TblSectionHeading1"/>
    <w:uiPriority w:val="49"/>
    <w:rsid w:val="00902476"/>
    <w:rPr>
      <w:color w:val="FFFFFF" w:themeColor="background1"/>
      <w:sz w:val="36"/>
    </w:rPr>
  </w:style>
  <w:style w:type="paragraph" w:styleId="NoSpacing">
    <w:name w:val="No Spacing"/>
    <w:link w:val="NoSpacingChar"/>
    <w:qFormat/>
    <w:rsid w:val="00902476"/>
    <w:pPr>
      <w:spacing w:after="0" w:line="240" w:lineRule="auto"/>
    </w:pPr>
  </w:style>
  <w:style w:type="character" w:customStyle="1" w:styleId="Heading1Char">
    <w:name w:val="Heading 1 Char"/>
    <w:basedOn w:val="DefaultParagraphFont"/>
    <w:link w:val="Heading1"/>
    <w:uiPriority w:val="9"/>
    <w:rsid w:val="00902476"/>
    <w:rPr>
      <w:rFonts w:asciiTheme="majorHAnsi" w:eastAsiaTheme="majorEastAsia" w:hAnsiTheme="majorHAnsi" w:cstheme="majorBidi"/>
      <w:b/>
      <w:sz w:val="32"/>
      <w:szCs w:val="32"/>
      <w:lang w:val="en-AU" w:eastAsia="zh-CN"/>
    </w:rPr>
  </w:style>
  <w:style w:type="character" w:customStyle="1" w:styleId="Heading2Char">
    <w:name w:val="Heading 2 Char"/>
    <w:basedOn w:val="DefaultParagraphFont"/>
    <w:link w:val="Heading2"/>
    <w:uiPriority w:val="9"/>
    <w:rsid w:val="00902476"/>
    <w:rPr>
      <w:rFonts w:asciiTheme="majorHAnsi" w:eastAsiaTheme="majorEastAsia" w:hAnsiTheme="majorHAnsi" w:cstheme="majorBidi"/>
      <w:b/>
      <w:sz w:val="28"/>
      <w:szCs w:val="26"/>
      <w:lang w:val="en-AU" w:eastAsia="zh-CN"/>
    </w:rPr>
  </w:style>
  <w:style w:type="character" w:customStyle="1" w:styleId="Heading3Char">
    <w:name w:val="Heading 3 Char"/>
    <w:basedOn w:val="DefaultParagraphFont"/>
    <w:link w:val="Heading3"/>
    <w:uiPriority w:val="9"/>
    <w:rsid w:val="00902476"/>
    <w:rPr>
      <w:rFonts w:asciiTheme="majorHAnsi" w:eastAsiaTheme="majorEastAsia" w:hAnsiTheme="majorHAnsi" w:cstheme="majorBidi"/>
      <w:b/>
      <w:sz w:val="24"/>
      <w:szCs w:val="24"/>
      <w:lang w:val="en-AU" w:eastAsia="zh-CN"/>
    </w:rPr>
  </w:style>
  <w:style w:type="character" w:customStyle="1" w:styleId="Heading4Char">
    <w:name w:val="Heading 4 Char"/>
    <w:basedOn w:val="DefaultParagraphFont"/>
    <w:link w:val="Heading4"/>
    <w:uiPriority w:val="9"/>
    <w:rsid w:val="00902476"/>
    <w:rPr>
      <w:rFonts w:asciiTheme="majorHAnsi" w:eastAsiaTheme="majorEastAsia" w:hAnsiTheme="majorHAnsi" w:cstheme="majorBidi"/>
      <w:b/>
      <w:iCs/>
      <w:color w:val="FCB040"/>
      <w:sz w:val="24"/>
      <w:lang w:val="en-AU" w:eastAsia="zh-CN"/>
    </w:rPr>
  </w:style>
  <w:style w:type="paragraph" w:styleId="Subtitle">
    <w:name w:val="Subtitle"/>
    <w:basedOn w:val="Normal"/>
    <w:next w:val="Normal"/>
    <w:link w:val="SubtitleChar"/>
    <w:uiPriority w:val="29"/>
    <w:qFormat/>
    <w:rsid w:val="00902476"/>
    <w:pPr>
      <w:numPr>
        <w:ilvl w:val="1"/>
      </w:numPr>
      <w:spacing w:after="160" w:line="240" w:lineRule="auto"/>
    </w:pPr>
    <w:rPr>
      <w:color w:val="5A5A5A" w:themeColor="text1" w:themeTint="A5"/>
      <w:spacing w:val="15"/>
      <w:sz w:val="20"/>
    </w:rPr>
  </w:style>
  <w:style w:type="character" w:customStyle="1" w:styleId="SubtitleChar">
    <w:name w:val="Subtitle Char"/>
    <w:basedOn w:val="DefaultParagraphFont"/>
    <w:link w:val="Subtitle"/>
    <w:uiPriority w:val="29"/>
    <w:rsid w:val="00902476"/>
    <w:rPr>
      <w:color w:val="5A5A5A" w:themeColor="text1" w:themeTint="A5"/>
      <w:spacing w:val="15"/>
      <w:sz w:val="20"/>
    </w:rPr>
  </w:style>
  <w:style w:type="character" w:styleId="Strong">
    <w:name w:val="Strong"/>
    <w:basedOn w:val="DefaultParagraphFont"/>
    <w:uiPriority w:val="22"/>
    <w:qFormat/>
    <w:rsid w:val="00902476"/>
    <w:rPr>
      <w:rFonts w:asciiTheme="majorHAnsi" w:hAnsiTheme="majorHAnsi"/>
      <w:b/>
      <w:bCs/>
      <w:sz w:val="22"/>
    </w:rPr>
  </w:style>
  <w:style w:type="character" w:styleId="Emphasis">
    <w:name w:val="Emphasis"/>
    <w:basedOn w:val="DefaultParagraphFont"/>
    <w:uiPriority w:val="20"/>
    <w:qFormat/>
    <w:rsid w:val="00902476"/>
    <w:rPr>
      <w:i/>
      <w:iCs/>
      <w:color w:val="595959" w:themeColor="text1" w:themeTint="A6"/>
    </w:rPr>
  </w:style>
  <w:style w:type="character" w:customStyle="1" w:styleId="NoSpacingChar">
    <w:name w:val="No Spacing Char"/>
    <w:basedOn w:val="DefaultParagraphFont"/>
    <w:link w:val="NoSpacing"/>
    <w:rsid w:val="00902476"/>
  </w:style>
  <w:style w:type="paragraph" w:styleId="ListParagraph">
    <w:name w:val="List Paragraph"/>
    <w:basedOn w:val="Normal"/>
    <w:uiPriority w:val="34"/>
    <w:qFormat/>
    <w:rsid w:val="00902476"/>
    <w:pPr>
      <w:numPr>
        <w:numId w:val="1"/>
      </w:numPr>
      <w:spacing w:before="120" w:after="120"/>
      <w:contextualSpacing/>
    </w:pPr>
  </w:style>
  <w:style w:type="character" w:styleId="IntenseEmphasis">
    <w:name w:val="Intense Emphasis"/>
    <w:basedOn w:val="DefaultParagraphFont"/>
    <w:uiPriority w:val="17"/>
    <w:qFormat/>
    <w:rsid w:val="00902476"/>
    <w:rPr>
      <w:i/>
      <w:iCs/>
      <w:color w:val="FCB040"/>
    </w:rPr>
  </w:style>
  <w:style w:type="character" w:styleId="SubtleReference">
    <w:name w:val="Subtle Reference"/>
    <w:basedOn w:val="DefaultParagraphFont"/>
    <w:uiPriority w:val="31"/>
    <w:qFormat/>
    <w:rsid w:val="00902476"/>
    <w:rPr>
      <w:rFonts w:asciiTheme="majorHAnsi" w:hAnsiTheme="majorHAnsi"/>
      <w:smallCaps/>
      <w:color w:val="5A5A5A" w:themeColor="text1" w:themeTint="A5"/>
    </w:rPr>
  </w:style>
  <w:style w:type="character" w:styleId="IntenseReference">
    <w:name w:val="Intense Reference"/>
    <w:basedOn w:val="DefaultParagraphFont"/>
    <w:uiPriority w:val="32"/>
    <w:qFormat/>
    <w:rsid w:val="00902476"/>
    <w:rPr>
      <w:rFonts w:asciiTheme="majorHAnsi" w:hAnsiTheme="majorHAnsi"/>
      <w:b/>
      <w:bCs/>
      <w:smallCaps/>
      <w:color w:val="FCB040"/>
      <w:spacing w:val="5"/>
    </w:rPr>
  </w:style>
  <w:style w:type="paragraph" w:styleId="Header">
    <w:name w:val="header"/>
    <w:basedOn w:val="Normal"/>
    <w:link w:val="HeaderChar"/>
    <w:uiPriority w:val="99"/>
    <w:unhideWhenUsed/>
    <w:rsid w:val="0043611F"/>
    <w:pPr>
      <w:tabs>
        <w:tab w:val="center" w:pos="4320"/>
        <w:tab w:val="right" w:pos="8640"/>
      </w:tabs>
      <w:spacing w:after="0"/>
    </w:pPr>
  </w:style>
  <w:style w:type="character" w:customStyle="1" w:styleId="HeaderChar">
    <w:name w:val="Header Char"/>
    <w:basedOn w:val="DefaultParagraphFont"/>
    <w:link w:val="Header"/>
    <w:uiPriority w:val="99"/>
    <w:rsid w:val="0043611F"/>
    <w:rPr>
      <w:rFonts w:ascii="Arial" w:eastAsia="Cambria" w:hAnsi="Arial" w:cs="Times New Roman"/>
      <w:color w:val="auto"/>
      <w:kern w:val="24"/>
      <w:sz w:val="24"/>
      <w:szCs w:val="24"/>
      <w:lang w:val="en-US"/>
    </w:rPr>
  </w:style>
  <w:style w:type="character" w:styleId="Hyperlink">
    <w:name w:val="Hyperlink"/>
    <w:uiPriority w:val="99"/>
    <w:unhideWhenUsed/>
    <w:rsid w:val="0043611F"/>
    <w:rPr>
      <w:color w:val="000000"/>
      <w:u w:val="single"/>
    </w:rPr>
  </w:style>
  <w:style w:type="paragraph" w:styleId="TOC2">
    <w:name w:val="toc 2"/>
    <w:basedOn w:val="Normal"/>
    <w:next w:val="Normal"/>
    <w:autoRedefine/>
    <w:uiPriority w:val="39"/>
    <w:unhideWhenUsed/>
    <w:rsid w:val="005318B2"/>
    <w:pPr>
      <w:tabs>
        <w:tab w:val="right" w:leader="dot" w:pos="9339"/>
      </w:tabs>
      <w:spacing w:after="0"/>
      <w:ind w:left="240"/>
    </w:pPr>
    <w:rPr>
      <w:rFonts w:asciiTheme="minorHAnsi" w:hAnsiTheme="minorHAnsi" w:cstheme="minorHAnsi"/>
      <w:smallCaps/>
      <w:noProof/>
      <w:u w:val="single"/>
      <w:lang w:val="en-AU"/>
    </w:rPr>
  </w:style>
  <w:style w:type="paragraph" w:customStyle="1" w:styleId="has-text-color">
    <w:name w:val="has-text-color"/>
    <w:basedOn w:val="Normal"/>
    <w:rsid w:val="00ED692B"/>
    <w:pPr>
      <w:spacing w:before="100" w:beforeAutospacing="1" w:after="100" w:afterAutospacing="1" w:line="240" w:lineRule="auto"/>
    </w:pPr>
    <w:rPr>
      <w:rFonts w:ascii="Times New Roman" w:eastAsia="Times New Roman" w:hAnsi="Times New Roman"/>
      <w:kern w:val="0"/>
      <w:lang w:val="en-AU" w:eastAsia="en-AU"/>
    </w:rPr>
  </w:style>
  <w:style w:type="paragraph" w:styleId="NormalWeb">
    <w:name w:val="Normal (Web)"/>
    <w:basedOn w:val="Normal"/>
    <w:uiPriority w:val="99"/>
    <w:unhideWhenUsed/>
    <w:rsid w:val="00ED692B"/>
    <w:pPr>
      <w:spacing w:before="100" w:beforeAutospacing="1" w:after="100" w:afterAutospacing="1" w:line="240" w:lineRule="auto"/>
    </w:pPr>
    <w:rPr>
      <w:rFonts w:ascii="Times New Roman" w:eastAsia="Times New Roman" w:hAnsi="Times New Roman"/>
      <w:kern w:val="0"/>
      <w:lang w:val="en-AU" w:eastAsia="en-AU"/>
    </w:rPr>
  </w:style>
  <w:style w:type="character" w:styleId="UnresolvedMention">
    <w:name w:val="Unresolved Mention"/>
    <w:basedOn w:val="DefaultParagraphFont"/>
    <w:uiPriority w:val="99"/>
    <w:semiHidden/>
    <w:unhideWhenUsed/>
    <w:rsid w:val="007D0A0C"/>
    <w:rPr>
      <w:color w:val="605E5C"/>
      <w:shd w:val="clear" w:color="auto" w:fill="E1DFDD"/>
    </w:rPr>
  </w:style>
  <w:style w:type="paragraph" w:styleId="FootnoteText">
    <w:name w:val="footnote text"/>
    <w:aliases w:val="Footnote Text RPC,BRS FOOTNOTE TEXT"/>
    <w:basedOn w:val="Normal"/>
    <w:link w:val="FootnoteTextChar"/>
    <w:uiPriority w:val="99"/>
    <w:unhideWhenUsed/>
    <w:qFormat/>
    <w:rsid w:val="002E2B4F"/>
    <w:pPr>
      <w:spacing w:after="0" w:line="240" w:lineRule="auto"/>
    </w:pPr>
    <w:rPr>
      <w:sz w:val="20"/>
      <w:szCs w:val="20"/>
    </w:rPr>
  </w:style>
  <w:style w:type="character" w:customStyle="1" w:styleId="FootnoteTextChar">
    <w:name w:val="Footnote Text Char"/>
    <w:aliases w:val="Footnote Text RPC Char,BRS FOOTNOTE TEXT Char"/>
    <w:basedOn w:val="DefaultParagraphFont"/>
    <w:link w:val="FootnoteText"/>
    <w:uiPriority w:val="99"/>
    <w:rsid w:val="002E2B4F"/>
    <w:rPr>
      <w:rFonts w:ascii="Arial" w:eastAsia="Cambria" w:hAnsi="Arial" w:cs="Times New Roman"/>
      <w:color w:val="auto"/>
      <w:kern w:val="24"/>
      <w:sz w:val="20"/>
      <w:szCs w:val="20"/>
      <w:lang w:val="en-US"/>
    </w:rPr>
  </w:style>
  <w:style w:type="character" w:styleId="FootnoteReference">
    <w:name w:val="footnote reference"/>
    <w:basedOn w:val="DefaultParagraphFont"/>
    <w:uiPriority w:val="99"/>
    <w:unhideWhenUsed/>
    <w:rsid w:val="002E2B4F"/>
    <w:rPr>
      <w:vertAlign w:val="superscript"/>
    </w:rPr>
  </w:style>
  <w:style w:type="paragraph" w:customStyle="1" w:styleId="HeadingNew">
    <w:name w:val="Heading New"/>
    <w:basedOn w:val="Normal"/>
    <w:next w:val="Normal"/>
    <w:qFormat/>
    <w:rsid w:val="00FB32E8"/>
    <w:pPr>
      <w:pageBreakBefore/>
    </w:pPr>
    <w:rPr>
      <w:rFonts w:ascii="Calibri Light" w:hAnsi="Calibri Light"/>
      <w:b/>
      <w:color w:val="006666"/>
      <w:sz w:val="44"/>
    </w:rPr>
  </w:style>
  <w:style w:type="character" w:styleId="FollowedHyperlink">
    <w:name w:val="FollowedHyperlink"/>
    <w:basedOn w:val="DefaultParagraphFont"/>
    <w:uiPriority w:val="99"/>
    <w:semiHidden/>
    <w:unhideWhenUsed/>
    <w:rsid w:val="002941B1"/>
    <w:rPr>
      <w:color w:val="FBB040" w:themeColor="followedHyperlink"/>
      <w:u w:val="single"/>
    </w:rPr>
  </w:style>
  <w:style w:type="paragraph" w:customStyle="1" w:styleId="p">
    <w:name w:val="p"/>
    <w:basedOn w:val="Normal"/>
    <w:rsid w:val="004D7C04"/>
    <w:pPr>
      <w:spacing w:before="100" w:beforeAutospacing="1" w:after="100" w:afterAutospacing="1" w:line="240" w:lineRule="auto"/>
    </w:pPr>
    <w:rPr>
      <w:rFonts w:ascii="Times New Roman" w:eastAsia="Times New Roman" w:hAnsi="Times New Roman"/>
      <w:kern w:val="0"/>
      <w:lang w:val="en-AU" w:eastAsia="en-AU"/>
    </w:rPr>
  </w:style>
  <w:style w:type="paragraph" w:customStyle="1" w:styleId="39n3n">
    <w:name w:val="_39n3n"/>
    <w:basedOn w:val="Normal"/>
    <w:rsid w:val="008C7970"/>
    <w:pPr>
      <w:spacing w:before="100" w:beforeAutospacing="1" w:after="100" w:afterAutospacing="1" w:line="240" w:lineRule="auto"/>
    </w:pPr>
    <w:rPr>
      <w:rFonts w:ascii="Times New Roman" w:eastAsia="Times New Roman" w:hAnsi="Times New Roman"/>
      <w:kern w:val="0"/>
      <w:lang w:val="en-AU" w:eastAsia="en-AU"/>
    </w:rPr>
  </w:style>
  <w:style w:type="numbering" w:customStyle="1" w:styleId="CurrentList1">
    <w:name w:val="Current List1"/>
    <w:uiPriority w:val="99"/>
    <w:rsid w:val="00991C40"/>
    <w:pPr>
      <w:numPr>
        <w:numId w:val="4"/>
      </w:numPr>
    </w:pPr>
  </w:style>
  <w:style w:type="numbering" w:customStyle="1" w:styleId="CurrentList2">
    <w:name w:val="Current List2"/>
    <w:uiPriority w:val="99"/>
    <w:rsid w:val="00CB479D"/>
    <w:pPr>
      <w:numPr>
        <w:numId w:val="5"/>
      </w:numPr>
    </w:pPr>
  </w:style>
  <w:style w:type="character" w:styleId="CommentReference">
    <w:name w:val="annotation reference"/>
    <w:basedOn w:val="DefaultParagraphFont"/>
    <w:uiPriority w:val="99"/>
    <w:semiHidden/>
    <w:unhideWhenUsed/>
    <w:rsid w:val="005A55E3"/>
    <w:rPr>
      <w:sz w:val="16"/>
      <w:szCs w:val="16"/>
    </w:rPr>
  </w:style>
  <w:style w:type="paragraph" w:styleId="CommentText">
    <w:name w:val="annotation text"/>
    <w:basedOn w:val="Normal"/>
    <w:link w:val="CommentTextChar"/>
    <w:uiPriority w:val="99"/>
    <w:semiHidden/>
    <w:unhideWhenUsed/>
    <w:rsid w:val="005A55E3"/>
    <w:pPr>
      <w:spacing w:line="240" w:lineRule="auto"/>
    </w:pPr>
    <w:rPr>
      <w:sz w:val="20"/>
      <w:szCs w:val="20"/>
    </w:rPr>
  </w:style>
  <w:style w:type="character" w:customStyle="1" w:styleId="CommentTextChar">
    <w:name w:val="Comment Text Char"/>
    <w:basedOn w:val="DefaultParagraphFont"/>
    <w:link w:val="CommentText"/>
    <w:uiPriority w:val="99"/>
    <w:semiHidden/>
    <w:rsid w:val="005A55E3"/>
    <w:rPr>
      <w:rFonts w:ascii="Arial" w:eastAsia="Cambria" w:hAnsi="Arial" w:cs="Times New Roman"/>
      <w:color w:val="auto"/>
      <w:kern w:val="24"/>
      <w:sz w:val="20"/>
      <w:szCs w:val="20"/>
      <w:lang w:val="en-US"/>
    </w:rPr>
  </w:style>
  <w:style w:type="paragraph" w:styleId="CommentSubject">
    <w:name w:val="annotation subject"/>
    <w:basedOn w:val="CommentText"/>
    <w:next w:val="CommentText"/>
    <w:link w:val="CommentSubjectChar"/>
    <w:uiPriority w:val="99"/>
    <w:semiHidden/>
    <w:unhideWhenUsed/>
    <w:rsid w:val="005A55E3"/>
    <w:rPr>
      <w:b/>
      <w:bCs/>
    </w:rPr>
  </w:style>
  <w:style w:type="character" w:customStyle="1" w:styleId="CommentSubjectChar">
    <w:name w:val="Comment Subject Char"/>
    <w:basedOn w:val="CommentTextChar"/>
    <w:link w:val="CommentSubject"/>
    <w:uiPriority w:val="99"/>
    <w:semiHidden/>
    <w:rsid w:val="005A55E3"/>
    <w:rPr>
      <w:rFonts w:ascii="Arial" w:eastAsia="Cambria" w:hAnsi="Arial" w:cs="Times New Roman"/>
      <w:b/>
      <w:bCs/>
      <w:color w:val="auto"/>
      <w:kern w:val="24"/>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960">
      <w:bodyDiv w:val="1"/>
      <w:marLeft w:val="0"/>
      <w:marRight w:val="0"/>
      <w:marTop w:val="0"/>
      <w:marBottom w:val="0"/>
      <w:divBdr>
        <w:top w:val="none" w:sz="0" w:space="0" w:color="auto"/>
        <w:left w:val="none" w:sz="0" w:space="0" w:color="auto"/>
        <w:bottom w:val="none" w:sz="0" w:space="0" w:color="auto"/>
        <w:right w:val="none" w:sz="0" w:space="0" w:color="auto"/>
      </w:divBdr>
    </w:div>
    <w:div w:id="140781555">
      <w:bodyDiv w:val="1"/>
      <w:marLeft w:val="0"/>
      <w:marRight w:val="0"/>
      <w:marTop w:val="0"/>
      <w:marBottom w:val="0"/>
      <w:divBdr>
        <w:top w:val="none" w:sz="0" w:space="0" w:color="auto"/>
        <w:left w:val="none" w:sz="0" w:space="0" w:color="auto"/>
        <w:bottom w:val="none" w:sz="0" w:space="0" w:color="auto"/>
        <w:right w:val="none" w:sz="0" w:space="0" w:color="auto"/>
      </w:divBdr>
    </w:div>
    <w:div w:id="220989680">
      <w:bodyDiv w:val="1"/>
      <w:marLeft w:val="0"/>
      <w:marRight w:val="0"/>
      <w:marTop w:val="0"/>
      <w:marBottom w:val="0"/>
      <w:divBdr>
        <w:top w:val="none" w:sz="0" w:space="0" w:color="auto"/>
        <w:left w:val="none" w:sz="0" w:space="0" w:color="auto"/>
        <w:bottom w:val="none" w:sz="0" w:space="0" w:color="auto"/>
        <w:right w:val="none" w:sz="0" w:space="0" w:color="auto"/>
      </w:divBdr>
    </w:div>
    <w:div w:id="341011226">
      <w:bodyDiv w:val="1"/>
      <w:marLeft w:val="0"/>
      <w:marRight w:val="0"/>
      <w:marTop w:val="0"/>
      <w:marBottom w:val="0"/>
      <w:divBdr>
        <w:top w:val="none" w:sz="0" w:space="0" w:color="auto"/>
        <w:left w:val="none" w:sz="0" w:space="0" w:color="auto"/>
        <w:bottom w:val="none" w:sz="0" w:space="0" w:color="auto"/>
        <w:right w:val="none" w:sz="0" w:space="0" w:color="auto"/>
      </w:divBdr>
    </w:div>
    <w:div w:id="488903641">
      <w:bodyDiv w:val="1"/>
      <w:marLeft w:val="0"/>
      <w:marRight w:val="0"/>
      <w:marTop w:val="0"/>
      <w:marBottom w:val="0"/>
      <w:divBdr>
        <w:top w:val="none" w:sz="0" w:space="0" w:color="auto"/>
        <w:left w:val="none" w:sz="0" w:space="0" w:color="auto"/>
        <w:bottom w:val="none" w:sz="0" w:space="0" w:color="auto"/>
        <w:right w:val="none" w:sz="0" w:space="0" w:color="auto"/>
      </w:divBdr>
    </w:div>
    <w:div w:id="505751942">
      <w:bodyDiv w:val="1"/>
      <w:marLeft w:val="0"/>
      <w:marRight w:val="0"/>
      <w:marTop w:val="0"/>
      <w:marBottom w:val="0"/>
      <w:divBdr>
        <w:top w:val="none" w:sz="0" w:space="0" w:color="auto"/>
        <w:left w:val="none" w:sz="0" w:space="0" w:color="auto"/>
        <w:bottom w:val="none" w:sz="0" w:space="0" w:color="auto"/>
        <w:right w:val="none" w:sz="0" w:space="0" w:color="auto"/>
      </w:divBdr>
    </w:div>
    <w:div w:id="507328732">
      <w:bodyDiv w:val="1"/>
      <w:marLeft w:val="0"/>
      <w:marRight w:val="0"/>
      <w:marTop w:val="0"/>
      <w:marBottom w:val="0"/>
      <w:divBdr>
        <w:top w:val="none" w:sz="0" w:space="0" w:color="auto"/>
        <w:left w:val="none" w:sz="0" w:space="0" w:color="auto"/>
        <w:bottom w:val="none" w:sz="0" w:space="0" w:color="auto"/>
        <w:right w:val="none" w:sz="0" w:space="0" w:color="auto"/>
      </w:divBdr>
    </w:div>
    <w:div w:id="692729008">
      <w:bodyDiv w:val="1"/>
      <w:marLeft w:val="0"/>
      <w:marRight w:val="0"/>
      <w:marTop w:val="0"/>
      <w:marBottom w:val="0"/>
      <w:divBdr>
        <w:top w:val="none" w:sz="0" w:space="0" w:color="auto"/>
        <w:left w:val="none" w:sz="0" w:space="0" w:color="auto"/>
        <w:bottom w:val="none" w:sz="0" w:space="0" w:color="auto"/>
        <w:right w:val="none" w:sz="0" w:space="0" w:color="auto"/>
      </w:divBdr>
    </w:div>
    <w:div w:id="735782002">
      <w:bodyDiv w:val="1"/>
      <w:marLeft w:val="0"/>
      <w:marRight w:val="0"/>
      <w:marTop w:val="0"/>
      <w:marBottom w:val="0"/>
      <w:divBdr>
        <w:top w:val="none" w:sz="0" w:space="0" w:color="auto"/>
        <w:left w:val="none" w:sz="0" w:space="0" w:color="auto"/>
        <w:bottom w:val="none" w:sz="0" w:space="0" w:color="auto"/>
        <w:right w:val="none" w:sz="0" w:space="0" w:color="auto"/>
      </w:divBdr>
    </w:div>
    <w:div w:id="748163129">
      <w:bodyDiv w:val="1"/>
      <w:marLeft w:val="0"/>
      <w:marRight w:val="0"/>
      <w:marTop w:val="0"/>
      <w:marBottom w:val="0"/>
      <w:divBdr>
        <w:top w:val="none" w:sz="0" w:space="0" w:color="auto"/>
        <w:left w:val="none" w:sz="0" w:space="0" w:color="auto"/>
        <w:bottom w:val="none" w:sz="0" w:space="0" w:color="auto"/>
        <w:right w:val="none" w:sz="0" w:space="0" w:color="auto"/>
      </w:divBdr>
    </w:div>
    <w:div w:id="855731940">
      <w:bodyDiv w:val="1"/>
      <w:marLeft w:val="0"/>
      <w:marRight w:val="0"/>
      <w:marTop w:val="0"/>
      <w:marBottom w:val="0"/>
      <w:divBdr>
        <w:top w:val="none" w:sz="0" w:space="0" w:color="auto"/>
        <w:left w:val="none" w:sz="0" w:space="0" w:color="auto"/>
        <w:bottom w:val="none" w:sz="0" w:space="0" w:color="auto"/>
        <w:right w:val="none" w:sz="0" w:space="0" w:color="auto"/>
      </w:divBdr>
    </w:div>
    <w:div w:id="930965949">
      <w:bodyDiv w:val="1"/>
      <w:marLeft w:val="0"/>
      <w:marRight w:val="0"/>
      <w:marTop w:val="0"/>
      <w:marBottom w:val="0"/>
      <w:divBdr>
        <w:top w:val="none" w:sz="0" w:space="0" w:color="auto"/>
        <w:left w:val="none" w:sz="0" w:space="0" w:color="auto"/>
        <w:bottom w:val="none" w:sz="0" w:space="0" w:color="auto"/>
        <w:right w:val="none" w:sz="0" w:space="0" w:color="auto"/>
      </w:divBdr>
    </w:div>
    <w:div w:id="1199588594">
      <w:bodyDiv w:val="1"/>
      <w:marLeft w:val="0"/>
      <w:marRight w:val="0"/>
      <w:marTop w:val="0"/>
      <w:marBottom w:val="0"/>
      <w:divBdr>
        <w:top w:val="none" w:sz="0" w:space="0" w:color="auto"/>
        <w:left w:val="none" w:sz="0" w:space="0" w:color="auto"/>
        <w:bottom w:val="none" w:sz="0" w:space="0" w:color="auto"/>
        <w:right w:val="none" w:sz="0" w:space="0" w:color="auto"/>
      </w:divBdr>
    </w:div>
    <w:div w:id="1252395326">
      <w:bodyDiv w:val="1"/>
      <w:marLeft w:val="0"/>
      <w:marRight w:val="0"/>
      <w:marTop w:val="0"/>
      <w:marBottom w:val="0"/>
      <w:divBdr>
        <w:top w:val="none" w:sz="0" w:space="0" w:color="auto"/>
        <w:left w:val="none" w:sz="0" w:space="0" w:color="auto"/>
        <w:bottom w:val="none" w:sz="0" w:space="0" w:color="auto"/>
        <w:right w:val="none" w:sz="0" w:space="0" w:color="auto"/>
      </w:divBdr>
    </w:div>
    <w:div w:id="1422333418">
      <w:bodyDiv w:val="1"/>
      <w:marLeft w:val="0"/>
      <w:marRight w:val="0"/>
      <w:marTop w:val="0"/>
      <w:marBottom w:val="0"/>
      <w:divBdr>
        <w:top w:val="none" w:sz="0" w:space="0" w:color="auto"/>
        <w:left w:val="none" w:sz="0" w:space="0" w:color="auto"/>
        <w:bottom w:val="none" w:sz="0" w:space="0" w:color="auto"/>
        <w:right w:val="none" w:sz="0" w:space="0" w:color="auto"/>
      </w:divBdr>
    </w:div>
    <w:div w:id="1476021296">
      <w:bodyDiv w:val="1"/>
      <w:marLeft w:val="0"/>
      <w:marRight w:val="0"/>
      <w:marTop w:val="0"/>
      <w:marBottom w:val="0"/>
      <w:divBdr>
        <w:top w:val="none" w:sz="0" w:space="0" w:color="auto"/>
        <w:left w:val="none" w:sz="0" w:space="0" w:color="auto"/>
        <w:bottom w:val="none" w:sz="0" w:space="0" w:color="auto"/>
        <w:right w:val="none" w:sz="0" w:space="0" w:color="auto"/>
      </w:divBdr>
    </w:div>
    <w:div w:id="1550533275">
      <w:bodyDiv w:val="1"/>
      <w:marLeft w:val="0"/>
      <w:marRight w:val="0"/>
      <w:marTop w:val="0"/>
      <w:marBottom w:val="0"/>
      <w:divBdr>
        <w:top w:val="none" w:sz="0" w:space="0" w:color="auto"/>
        <w:left w:val="none" w:sz="0" w:space="0" w:color="auto"/>
        <w:bottom w:val="none" w:sz="0" w:space="0" w:color="auto"/>
        <w:right w:val="none" w:sz="0" w:space="0" w:color="auto"/>
      </w:divBdr>
    </w:div>
    <w:div w:id="1556967784">
      <w:bodyDiv w:val="1"/>
      <w:marLeft w:val="0"/>
      <w:marRight w:val="0"/>
      <w:marTop w:val="0"/>
      <w:marBottom w:val="0"/>
      <w:divBdr>
        <w:top w:val="none" w:sz="0" w:space="0" w:color="auto"/>
        <w:left w:val="none" w:sz="0" w:space="0" w:color="auto"/>
        <w:bottom w:val="none" w:sz="0" w:space="0" w:color="auto"/>
        <w:right w:val="none" w:sz="0" w:space="0" w:color="auto"/>
      </w:divBdr>
    </w:div>
    <w:div w:id="1578130305">
      <w:bodyDiv w:val="1"/>
      <w:marLeft w:val="0"/>
      <w:marRight w:val="0"/>
      <w:marTop w:val="0"/>
      <w:marBottom w:val="0"/>
      <w:divBdr>
        <w:top w:val="none" w:sz="0" w:space="0" w:color="auto"/>
        <w:left w:val="none" w:sz="0" w:space="0" w:color="auto"/>
        <w:bottom w:val="none" w:sz="0" w:space="0" w:color="auto"/>
        <w:right w:val="none" w:sz="0" w:space="0" w:color="auto"/>
      </w:divBdr>
    </w:div>
    <w:div w:id="1637295681">
      <w:bodyDiv w:val="1"/>
      <w:marLeft w:val="0"/>
      <w:marRight w:val="0"/>
      <w:marTop w:val="0"/>
      <w:marBottom w:val="0"/>
      <w:divBdr>
        <w:top w:val="none" w:sz="0" w:space="0" w:color="auto"/>
        <w:left w:val="none" w:sz="0" w:space="0" w:color="auto"/>
        <w:bottom w:val="none" w:sz="0" w:space="0" w:color="auto"/>
        <w:right w:val="none" w:sz="0" w:space="0" w:color="auto"/>
      </w:divBdr>
    </w:div>
    <w:div w:id="1738818385">
      <w:bodyDiv w:val="1"/>
      <w:marLeft w:val="0"/>
      <w:marRight w:val="0"/>
      <w:marTop w:val="0"/>
      <w:marBottom w:val="0"/>
      <w:divBdr>
        <w:top w:val="none" w:sz="0" w:space="0" w:color="auto"/>
        <w:left w:val="none" w:sz="0" w:space="0" w:color="auto"/>
        <w:bottom w:val="none" w:sz="0" w:space="0" w:color="auto"/>
        <w:right w:val="none" w:sz="0" w:space="0" w:color="auto"/>
      </w:divBdr>
    </w:div>
    <w:div w:id="1877037693">
      <w:bodyDiv w:val="1"/>
      <w:marLeft w:val="0"/>
      <w:marRight w:val="0"/>
      <w:marTop w:val="0"/>
      <w:marBottom w:val="0"/>
      <w:divBdr>
        <w:top w:val="none" w:sz="0" w:space="0" w:color="auto"/>
        <w:left w:val="none" w:sz="0" w:space="0" w:color="auto"/>
        <w:bottom w:val="none" w:sz="0" w:space="0" w:color="auto"/>
        <w:right w:val="none" w:sz="0" w:space="0" w:color="auto"/>
      </w:divBdr>
    </w:div>
    <w:div w:id="1891964331">
      <w:bodyDiv w:val="1"/>
      <w:marLeft w:val="0"/>
      <w:marRight w:val="0"/>
      <w:marTop w:val="0"/>
      <w:marBottom w:val="0"/>
      <w:divBdr>
        <w:top w:val="none" w:sz="0" w:space="0" w:color="auto"/>
        <w:left w:val="none" w:sz="0" w:space="0" w:color="auto"/>
        <w:bottom w:val="none" w:sz="0" w:space="0" w:color="auto"/>
        <w:right w:val="none" w:sz="0" w:space="0" w:color="auto"/>
      </w:divBdr>
    </w:div>
    <w:div w:id="19206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aseline="0"/>
              <a:t>Australia 2020</a:t>
            </a:r>
          </a:p>
          <a:p>
            <a:pPr>
              <a:defRPr/>
            </a:pPr>
            <a:r>
              <a:rPr lang="en-US" sz="1400" baseline="0"/>
              <a:t>3.3 million Australians in poverty</a:t>
            </a:r>
          </a:p>
          <a:p>
            <a:pPr>
              <a:defRPr/>
            </a:pPr>
            <a:r>
              <a:rPr lang="en-US" sz="1400" baseline="0"/>
              <a:t>@ 50% median income line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Australan Population Estimated in Poverty - 60% Median income line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186F-49DE-93CF-D58FE75ECCB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86F-49DE-93CF-D58FE75ECCBE}"/>
              </c:ext>
            </c:extLst>
          </c:dPt>
          <c:dLbls>
            <c:dLbl>
              <c:idx val="0"/>
              <c:tx>
                <c:rich>
                  <a:bodyPr/>
                  <a:lstStyle/>
                  <a:p>
                    <a:r>
                      <a:rPr lang="en-US"/>
                      <a:t>82.8</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186F-49DE-93CF-D58FE75ECCBE}"/>
                </c:ext>
              </c:extLst>
            </c:dLbl>
            <c:dLbl>
              <c:idx val="1"/>
              <c:tx>
                <c:rich>
                  <a:bodyPr/>
                  <a:lstStyle/>
                  <a:p>
                    <a:r>
                      <a:rPr lang="en-US"/>
                      <a:t>17.2</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186F-49DE-93CF-D58FE75ECCB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 of Total - People non disabled</c:v>
                </c:pt>
                <c:pt idx="1">
                  <c:v>% of Total - People with Disability</c:v>
                </c:pt>
              </c:strCache>
              <c:extLst/>
            </c:strRef>
          </c:cat>
          <c:val>
            <c:numRef>
              <c:f>Sheet1!$B$2:$B$5</c:f>
              <c:numCache>
                <c:formatCode>General</c:formatCode>
                <c:ptCount val="2"/>
                <c:pt idx="0">
                  <c:v>3300000</c:v>
                </c:pt>
                <c:pt idx="1">
                  <c:v>937200</c:v>
                </c:pt>
              </c:numCache>
              <c:extLst/>
            </c:numRef>
          </c:val>
          <c:extLst>
            <c:ext xmlns:c16="http://schemas.microsoft.com/office/drawing/2014/chart" uri="{C3380CC4-5D6E-409C-BE32-E72D297353CC}">
              <c16:uniqueId val="{00000000-186F-49DE-93CF-D58FE75ECCB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462385549315449"/>
          <c:y val="0.46024439568004821"/>
          <c:w val="0.33079534256273857"/>
          <c:h val="0.3087457510434146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PremierCorpTheme">
      <a:dk1>
        <a:sysClr val="windowText" lastClr="000000"/>
      </a:dk1>
      <a:lt1>
        <a:srgbClr val="FFFFFF"/>
      </a:lt1>
      <a:dk2>
        <a:srgbClr val="3F3F3F"/>
      </a:dk2>
      <a:lt2>
        <a:srgbClr val="FFFFFF"/>
      </a:lt2>
      <a:accent1>
        <a:srgbClr val="5F6062"/>
      </a:accent1>
      <a:accent2>
        <a:srgbClr val="FBB040"/>
      </a:accent2>
      <a:accent3>
        <a:srgbClr val="FDDFB2"/>
      </a:accent3>
      <a:accent4>
        <a:srgbClr val="D28005"/>
      </a:accent4>
      <a:accent5>
        <a:srgbClr val="474849"/>
      </a:accent5>
      <a:accent6>
        <a:srgbClr val="D8D8D8"/>
      </a:accent6>
      <a:hlink>
        <a:srgbClr val="FBB040"/>
      </a:hlink>
      <a:folHlink>
        <a:srgbClr val="FBB0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6AF3DF66A2FB43963EC44FC3E5E54C" ma:contentTypeVersion="7" ma:contentTypeDescription="Create a new document." ma:contentTypeScope="" ma:versionID="bf37369cbb4075708cb0899aec803a4c">
  <xsd:schema xmlns:xsd="http://www.w3.org/2001/XMLSchema" xmlns:xs="http://www.w3.org/2001/XMLSchema" xmlns:p="http://schemas.microsoft.com/office/2006/metadata/properties" xmlns:ns2="d928bd7b-031c-4455-8a79-7f373819dc6b" targetNamespace="http://schemas.microsoft.com/office/2006/metadata/properties" ma:root="true" ma:fieldsID="8f0dd76085e9c1b130fc1a5ecf5aee9d" ns2:_="">
    <xsd:import namespace="d928bd7b-031c-4455-8a79-7f373819dc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bd7b-031c-4455-8a79-7f373819d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F1023-B7DC-4A9C-8524-2D1AE4CF3464}">
  <ds:schemaRefs>
    <ds:schemaRef ds:uri="http://schemas.openxmlformats.org/officeDocument/2006/bibliography"/>
  </ds:schemaRefs>
</ds:datastoreItem>
</file>

<file path=customXml/itemProps2.xml><?xml version="1.0" encoding="utf-8"?>
<ds:datastoreItem xmlns:ds="http://schemas.openxmlformats.org/officeDocument/2006/customXml" ds:itemID="{D785C0BD-AF0E-4936-8204-2F3D65E1DB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2C1AA4-4146-40D7-8232-0246EABDDB59}">
  <ds:schemaRefs>
    <ds:schemaRef ds:uri="http://schemas.microsoft.com/sharepoint/v3/contenttype/forms"/>
  </ds:schemaRefs>
</ds:datastoreItem>
</file>

<file path=customXml/itemProps4.xml><?xml version="1.0" encoding="utf-8"?>
<ds:datastoreItem xmlns:ds="http://schemas.openxmlformats.org/officeDocument/2006/customXml" ds:itemID="{E238D31C-A6A6-414C-9E5B-CE4235593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bd7b-031c-4455-8a79-7f373819d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4397</Words>
  <Characters>25068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29407</CharactersWithSpaces>
  <SharedDoc>false</SharedDoc>
  <HLinks>
    <vt:vector size="48" baseType="variant">
      <vt:variant>
        <vt:i4>5439499</vt:i4>
      </vt:variant>
      <vt:variant>
        <vt:i4>30</vt:i4>
      </vt:variant>
      <vt:variant>
        <vt:i4>0</vt:i4>
      </vt:variant>
      <vt:variant>
        <vt:i4>5</vt:i4>
      </vt:variant>
      <vt:variant>
        <vt:lpwstr>https://www.abc.net.au/news/2022-06-25/long-covid-clinic-st-vincents-cognitive-decline/101178450</vt:lpwstr>
      </vt:variant>
      <vt:variant>
        <vt:lpwstr/>
      </vt:variant>
      <vt:variant>
        <vt:i4>5570643</vt:i4>
      </vt:variant>
      <vt:variant>
        <vt:i4>27</vt:i4>
      </vt:variant>
      <vt:variant>
        <vt:i4>0</vt:i4>
      </vt:variant>
      <vt:variant>
        <vt:i4>5</vt:i4>
      </vt:variant>
      <vt:variant>
        <vt:lpwstr>https://doi.org/10.1016/j.lanwpc.2021.100193</vt:lpwstr>
      </vt:variant>
      <vt:variant>
        <vt:lpwstr/>
      </vt:variant>
      <vt:variant>
        <vt:i4>1310811</vt:i4>
      </vt:variant>
      <vt:variant>
        <vt:i4>24</vt:i4>
      </vt:variant>
      <vt:variant>
        <vt:i4>0</vt:i4>
      </vt:variant>
      <vt:variant>
        <vt:i4>5</vt:i4>
      </vt:variant>
      <vt:variant>
        <vt:lpwstr>http://dx.doi.org/10.15585/mmwr.mm7121e1</vt:lpwstr>
      </vt:variant>
      <vt:variant>
        <vt:lpwstr/>
      </vt:variant>
      <vt:variant>
        <vt:i4>6815806</vt:i4>
      </vt:variant>
      <vt:variant>
        <vt:i4>21</vt:i4>
      </vt:variant>
      <vt:variant>
        <vt:i4>0</vt:i4>
      </vt:variant>
      <vt:variant>
        <vt:i4>5</vt:i4>
      </vt:variant>
      <vt:variant>
        <vt:lpwstr>https://doi.org/10.1186/s12889-022-13169-x</vt:lpwstr>
      </vt:variant>
      <vt:variant>
        <vt:lpwstr/>
      </vt:variant>
      <vt:variant>
        <vt:i4>2752563</vt:i4>
      </vt:variant>
      <vt:variant>
        <vt:i4>18</vt:i4>
      </vt:variant>
      <vt:variant>
        <vt:i4>0</vt:i4>
      </vt:variant>
      <vt:variant>
        <vt:i4>5</vt:i4>
      </vt:variant>
      <vt:variant>
        <vt:lpwstr>https://doi.org/10.1038/s41591-022-01840-0</vt:lpwstr>
      </vt:variant>
      <vt:variant>
        <vt:lpwstr/>
      </vt:variant>
      <vt:variant>
        <vt:i4>2490372</vt:i4>
      </vt:variant>
      <vt:variant>
        <vt:i4>14</vt:i4>
      </vt:variant>
      <vt:variant>
        <vt:i4>0</vt:i4>
      </vt:variant>
      <vt:variant>
        <vt:i4>5</vt:i4>
      </vt:variant>
      <vt:variant>
        <vt:lpwstr/>
      </vt:variant>
      <vt:variant>
        <vt:lpwstr>_Toc2206650</vt:lpwstr>
      </vt:variant>
      <vt:variant>
        <vt:i4>2555908</vt:i4>
      </vt:variant>
      <vt:variant>
        <vt:i4>8</vt:i4>
      </vt:variant>
      <vt:variant>
        <vt:i4>0</vt:i4>
      </vt:variant>
      <vt:variant>
        <vt:i4>5</vt:i4>
      </vt:variant>
      <vt:variant>
        <vt:lpwstr/>
      </vt:variant>
      <vt:variant>
        <vt:lpwstr>_Toc2206649</vt:lpwstr>
      </vt:variant>
      <vt:variant>
        <vt:i4>2555908</vt:i4>
      </vt:variant>
      <vt:variant>
        <vt:i4>2</vt:i4>
      </vt:variant>
      <vt:variant>
        <vt:i4>0</vt:i4>
      </vt:variant>
      <vt:variant>
        <vt:i4>5</vt:i4>
      </vt:variant>
      <vt:variant>
        <vt:lpwstr/>
      </vt:variant>
      <vt:variant>
        <vt:lpwstr>_Toc2206648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Rudd</dc:creator>
  <cp:keywords/>
  <dc:description/>
  <cp:lastModifiedBy>Amy Simmons</cp:lastModifiedBy>
  <cp:revision>3</cp:revision>
  <cp:lastPrinted>2023-08-01T00:30:00Z</cp:lastPrinted>
  <dcterms:created xsi:type="dcterms:W3CDTF">2023-03-17T07:43:00Z</dcterms:created>
  <dcterms:modified xsi:type="dcterms:W3CDTF">2023-08-01T00:30:00Z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0x010100A56AF3DF66A2FB43963EC44FC3E5E54C</vt:lpwstr>
  </property>
</Properties>
</file>