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CFE0" w14:textId="77777777" w:rsidR="0043611F" w:rsidRPr="00A91A00" w:rsidRDefault="0043611F" w:rsidP="0043611F">
      <w:pPr>
        <w:jc w:val="center"/>
        <w:rPr>
          <w:rFonts w:asciiTheme="minorHAnsi" w:eastAsia="Times New Roman" w:hAnsiTheme="minorHAnsi" w:cstheme="minorHAnsi"/>
          <w:b/>
          <w:bCs/>
          <w:color w:val="00767F"/>
          <w:kern w:val="28"/>
          <w:sz w:val="44"/>
          <w:szCs w:val="32"/>
          <w:lang w:val="en-AU"/>
        </w:rPr>
      </w:pPr>
      <w:r w:rsidRPr="00A91A00">
        <w:rPr>
          <w:rFonts w:asciiTheme="minorHAnsi" w:eastAsia="Times New Roman" w:hAnsiTheme="minorHAnsi" w:cstheme="minorHAnsi"/>
          <w:b/>
          <w:bCs/>
          <w:noProof/>
          <w:color w:val="00767F"/>
          <w:kern w:val="28"/>
          <w:sz w:val="44"/>
          <w:szCs w:val="32"/>
          <w:lang w:val="en-AU" w:eastAsia="en-AU"/>
        </w:rPr>
        <w:drawing>
          <wp:inline distT="0" distB="0" distL="0" distR="0" wp14:anchorId="441B85A5" wp14:editId="6EE2ECA5">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1301" cy="1830705"/>
                    </a:xfrm>
                    <a:prstGeom prst="rect">
                      <a:avLst/>
                    </a:prstGeom>
                  </pic:spPr>
                </pic:pic>
              </a:graphicData>
            </a:graphic>
          </wp:inline>
        </w:drawing>
      </w:r>
    </w:p>
    <w:p w14:paraId="6DE17B98" w14:textId="4EE64C31" w:rsidR="0043611F" w:rsidRPr="00A91A00" w:rsidRDefault="0043611F" w:rsidP="0043611F">
      <w:pPr>
        <w:jc w:val="center"/>
        <w:rPr>
          <w:rFonts w:asciiTheme="minorHAnsi" w:eastAsia="Times New Roman" w:hAnsiTheme="minorHAnsi" w:cstheme="minorHAnsi"/>
          <w:b/>
          <w:bCs/>
          <w:color w:val="00767F"/>
          <w:kern w:val="28"/>
          <w:sz w:val="44"/>
          <w:szCs w:val="32"/>
          <w:lang w:val="en-AU"/>
        </w:rPr>
      </w:pPr>
    </w:p>
    <w:p w14:paraId="7405C6E5" w14:textId="77777777" w:rsidR="0043611F" w:rsidRPr="00A91A00" w:rsidRDefault="0043611F" w:rsidP="0043611F">
      <w:pPr>
        <w:jc w:val="center"/>
        <w:rPr>
          <w:rFonts w:asciiTheme="minorHAnsi" w:eastAsia="Times New Roman" w:hAnsiTheme="minorHAnsi" w:cstheme="minorHAnsi"/>
          <w:b/>
          <w:bCs/>
          <w:color w:val="00767F"/>
          <w:kern w:val="28"/>
          <w:sz w:val="44"/>
          <w:szCs w:val="32"/>
          <w:lang w:val="en-AU"/>
        </w:rPr>
      </w:pPr>
    </w:p>
    <w:p w14:paraId="265F8055" w14:textId="2E1EBF4D" w:rsidR="003E760B" w:rsidRPr="00A91A00" w:rsidRDefault="003E760B" w:rsidP="0043611F">
      <w:pPr>
        <w:jc w:val="center"/>
        <w:rPr>
          <w:rFonts w:asciiTheme="majorHAnsi" w:eastAsia="Times New Roman" w:hAnsiTheme="majorHAnsi" w:cstheme="majorHAnsi"/>
          <w:b/>
          <w:bCs/>
          <w:kern w:val="28"/>
          <w:sz w:val="72"/>
          <w:szCs w:val="72"/>
          <w:lang w:val="en-AU"/>
        </w:rPr>
      </w:pPr>
      <w:r w:rsidRPr="00A91A00">
        <w:rPr>
          <w:rFonts w:asciiTheme="majorHAnsi" w:eastAsia="Times New Roman" w:hAnsiTheme="majorHAnsi" w:cstheme="majorHAnsi"/>
          <w:b/>
          <w:bCs/>
          <w:kern w:val="28"/>
          <w:sz w:val="72"/>
          <w:szCs w:val="72"/>
          <w:lang w:val="en-AU"/>
        </w:rPr>
        <w:t xml:space="preserve">Inquiry into Long </w:t>
      </w:r>
      <w:r w:rsidR="00F9793D">
        <w:rPr>
          <w:rFonts w:asciiTheme="majorHAnsi" w:eastAsia="Times New Roman" w:hAnsiTheme="majorHAnsi" w:cstheme="majorHAnsi"/>
          <w:b/>
          <w:bCs/>
          <w:kern w:val="28"/>
          <w:sz w:val="72"/>
          <w:szCs w:val="72"/>
          <w:lang w:val="en-AU"/>
        </w:rPr>
        <w:t>COVID</w:t>
      </w:r>
      <w:r w:rsidRPr="00A91A00">
        <w:rPr>
          <w:rFonts w:asciiTheme="majorHAnsi" w:eastAsia="Times New Roman" w:hAnsiTheme="majorHAnsi" w:cstheme="majorHAnsi"/>
          <w:b/>
          <w:bCs/>
          <w:kern w:val="28"/>
          <w:sz w:val="72"/>
          <w:szCs w:val="72"/>
          <w:lang w:val="en-AU"/>
        </w:rPr>
        <w:t xml:space="preserve"> and Repeated </w:t>
      </w:r>
      <w:r w:rsidR="00F9793D">
        <w:rPr>
          <w:rFonts w:asciiTheme="majorHAnsi" w:eastAsia="Times New Roman" w:hAnsiTheme="majorHAnsi" w:cstheme="majorHAnsi"/>
          <w:b/>
          <w:bCs/>
          <w:kern w:val="28"/>
          <w:sz w:val="72"/>
          <w:szCs w:val="72"/>
          <w:lang w:val="en-AU"/>
        </w:rPr>
        <w:t>COVID</w:t>
      </w:r>
      <w:r w:rsidRPr="00A91A00">
        <w:rPr>
          <w:rFonts w:asciiTheme="majorHAnsi" w:eastAsia="Times New Roman" w:hAnsiTheme="majorHAnsi" w:cstheme="majorHAnsi"/>
          <w:b/>
          <w:bCs/>
          <w:kern w:val="28"/>
          <w:sz w:val="72"/>
          <w:szCs w:val="72"/>
          <w:lang w:val="en-AU"/>
        </w:rPr>
        <w:t xml:space="preserve"> Infections</w:t>
      </w:r>
    </w:p>
    <w:p w14:paraId="6C2ECEB2" w14:textId="0F25699C" w:rsidR="0043611F" w:rsidRPr="00A91A00" w:rsidRDefault="003E760B" w:rsidP="0043611F">
      <w:pPr>
        <w:jc w:val="center"/>
        <w:rPr>
          <w:rFonts w:asciiTheme="majorHAnsi" w:hAnsiTheme="majorHAnsi" w:cstheme="majorHAnsi"/>
          <w:b/>
          <w:color w:val="006666"/>
          <w:sz w:val="48"/>
          <w:szCs w:val="48"/>
          <w:lang w:val="en-AU"/>
        </w:rPr>
      </w:pPr>
      <w:r w:rsidRPr="00A91A00">
        <w:rPr>
          <w:rStyle w:val="Heading2Char"/>
          <w:rFonts w:cstheme="majorHAnsi"/>
          <w:color w:val="006666"/>
          <w:sz w:val="48"/>
          <w:szCs w:val="48"/>
        </w:rPr>
        <w:t>Submission by AFDO</w:t>
      </w:r>
    </w:p>
    <w:p w14:paraId="304CCDFF" w14:textId="74C14DEF" w:rsidR="0043611F" w:rsidRPr="00A91A00" w:rsidRDefault="0043611F" w:rsidP="0043611F">
      <w:pPr>
        <w:jc w:val="center"/>
        <w:rPr>
          <w:rFonts w:asciiTheme="majorHAnsi" w:hAnsiTheme="majorHAnsi" w:cstheme="majorHAnsi"/>
          <w:b/>
          <w:color w:val="343434"/>
          <w:sz w:val="28"/>
          <w:szCs w:val="72"/>
          <w:lang w:val="en-AU"/>
        </w:rPr>
      </w:pPr>
    </w:p>
    <w:p w14:paraId="36D7D125" w14:textId="1CAC29E4" w:rsidR="0043611F" w:rsidRPr="00A91A00" w:rsidRDefault="0043611F" w:rsidP="0043611F">
      <w:pPr>
        <w:jc w:val="center"/>
        <w:rPr>
          <w:rFonts w:asciiTheme="majorHAnsi" w:hAnsiTheme="majorHAnsi" w:cstheme="majorHAnsi"/>
          <w:b/>
          <w:color w:val="343434"/>
          <w:sz w:val="28"/>
          <w:szCs w:val="72"/>
          <w:lang w:val="en-AU"/>
        </w:rPr>
      </w:pPr>
    </w:p>
    <w:p w14:paraId="13CFDC7C" w14:textId="7F444040" w:rsidR="0043611F" w:rsidRPr="00A91A00" w:rsidRDefault="0043611F" w:rsidP="0043611F">
      <w:pPr>
        <w:jc w:val="center"/>
        <w:rPr>
          <w:rFonts w:asciiTheme="majorHAnsi" w:hAnsiTheme="majorHAnsi" w:cstheme="majorHAnsi"/>
          <w:b/>
          <w:color w:val="343434"/>
          <w:sz w:val="28"/>
          <w:szCs w:val="72"/>
          <w:lang w:val="en-AU"/>
        </w:rPr>
      </w:pPr>
    </w:p>
    <w:p w14:paraId="7861CF5B" w14:textId="77777777" w:rsidR="0043611F" w:rsidRPr="00A91A00" w:rsidRDefault="0043611F" w:rsidP="0043611F">
      <w:pPr>
        <w:jc w:val="center"/>
        <w:rPr>
          <w:rFonts w:asciiTheme="majorHAnsi" w:hAnsiTheme="majorHAnsi" w:cstheme="majorHAnsi"/>
          <w:b/>
          <w:color w:val="343434"/>
          <w:sz w:val="28"/>
          <w:szCs w:val="72"/>
          <w:lang w:val="en-AU"/>
        </w:rPr>
      </w:pPr>
    </w:p>
    <w:p w14:paraId="0D877D0B" w14:textId="2C7373D5" w:rsidR="0043611F" w:rsidRPr="00A91A00" w:rsidRDefault="0043611F" w:rsidP="0043611F">
      <w:pPr>
        <w:jc w:val="center"/>
        <w:rPr>
          <w:rFonts w:asciiTheme="majorHAnsi" w:hAnsiTheme="majorHAnsi" w:cstheme="majorHAnsi"/>
          <w:b/>
          <w:color w:val="343434"/>
          <w:sz w:val="32"/>
          <w:szCs w:val="32"/>
          <w:lang w:val="en-AU"/>
        </w:rPr>
      </w:pPr>
      <w:bookmarkStart w:id="0" w:name="_Toc525849192"/>
      <w:bookmarkStart w:id="1" w:name="_Toc254011"/>
      <w:bookmarkStart w:id="2" w:name="_Toc2206648"/>
      <w:r w:rsidRPr="00A91A00">
        <w:rPr>
          <w:rFonts w:asciiTheme="majorHAnsi" w:hAnsiTheme="majorHAnsi" w:cstheme="majorHAnsi"/>
          <w:b/>
          <w:color w:val="343434"/>
          <w:sz w:val="32"/>
          <w:szCs w:val="32"/>
          <w:lang w:val="en-AU"/>
        </w:rPr>
        <w:t>November 2022</w:t>
      </w:r>
    </w:p>
    <w:p w14:paraId="0BC2D6BE" w14:textId="77777777" w:rsidR="0043611F" w:rsidRPr="00A91A00" w:rsidRDefault="0043611F" w:rsidP="0043611F">
      <w:pPr>
        <w:rPr>
          <w:rFonts w:asciiTheme="minorHAnsi" w:hAnsiTheme="minorHAnsi" w:cstheme="minorHAnsi"/>
          <w:b/>
          <w:color w:val="343434"/>
          <w:sz w:val="28"/>
          <w:szCs w:val="72"/>
          <w:lang w:val="en-AU"/>
        </w:rPr>
      </w:pPr>
    </w:p>
    <w:p w14:paraId="52A94CC7" w14:textId="77777777" w:rsidR="0043611F" w:rsidRPr="00A91A00" w:rsidRDefault="0043611F" w:rsidP="0043611F">
      <w:pPr>
        <w:rPr>
          <w:rFonts w:asciiTheme="minorHAnsi" w:hAnsiTheme="minorHAnsi" w:cstheme="minorHAnsi"/>
          <w:b/>
          <w:color w:val="343434"/>
          <w:sz w:val="28"/>
          <w:szCs w:val="72"/>
          <w:lang w:val="en-AU"/>
        </w:rPr>
      </w:pPr>
    </w:p>
    <w:p w14:paraId="65F81F79" w14:textId="77777777" w:rsidR="0043611F" w:rsidRPr="00A91A00" w:rsidRDefault="0043611F" w:rsidP="0043611F">
      <w:pPr>
        <w:rPr>
          <w:rFonts w:asciiTheme="minorHAnsi" w:hAnsiTheme="minorHAnsi" w:cstheme="minorHAnsi"/>
          <w:b/>
          <w:color w:val="343434"/>
          <w:sz w:val="28"/>
          <w:szCs w:val="72"/>
          <w:lang w:val="en-AU"/>
        </w:rPr>
      </w:pPr>
    </w:p>
    <w:p w14:paraId="6F4D9F2D" w14:textId="77777777" w:rsidR="0043611F" w:rsidRPr="00A91A00" w:rsidRDefault="0043611F" w:rsidP="0043611F">
      <w:pPr>
        <w:rPr>
          <w:rFonts w:asciiTheme="minorHAnsi" w:hAnsiTheme="minorHAnsi" w:cstheme="minorHAnsi"/>
          <w:b/>
          <w:color w:val="343434"/>
          <w:sz w:val="28"/>
          <w:szCs w:val="72"/>
          <w:lang w:val="en-AU"/>
        </w:rPr>
      </w:pPr>
    </w:p>
    <w:p w14:paraId="2E1F864A" w14:textId="77777777" w:rsidR="0043611F" w:rsidRPr="00A91A00" w:rsidRDefault="0043611F" w:rsidP="0043611F">
      <w:pPr>
        <w:rPr>
          <w:rFonts w:asciiTheme="minorHAnsi" w:hAnsiTheme="minorHAnsi" w:cstheme="minorHAnsi"/>
          <w:b/>
          <w:color w:val="343434"/>
          <w:sz w:val="28"/>
          <w:szCs w:val="72"/>
          <w:lang w:val="en-AU"/>
        </w:rPr>
      </w:pPr>
    </w:p>
    <w:p w14:paraId="730FC014" w14:textId="77777777" w:rsidR="0043611F" w:rsidRPr="00A91A00" w:rsidRDefault="0043611F" w:rsidP="0043611F">
      <w:pPr>
        <w:rPr>
          <w:rFonts w:asciiTheme="minorHAnsi" w:hAnsiTheme="minorHAnsi" w:cstheme="minorHAnsi"/>
          <w:b/>
          <w:color w:val="343434"/>
          <w:sz w:val="28"/>
          <w:szCs w:val="72"/>
          <w:lang w:val="en-AU"/>
        </w:rPr>
      </w:pPr>
    </w:p>
    <w:p w14:paraId="781BE5CF" w14:textId="64BAD8AC" w:rsidR="0043611F" w:rsidRPr="00A91A00" w:rsidRDefault="0043611F" w:rsidP="0043611F">
      <w:pPr>
        <w:rPr>
          <w:rFonts w:asciiTheme="minorHAnsi" w:hAnsiTheme="minorHAnsi" w:cstheme="minorHAnsi"/>
          <w:b/>
          <w:color w:val="343434"/>
          <w:sz w:val="28"/>
          <w:szCs w:val="72"/>
          <w:lang w:val="en-AU"/>
        </w:rPr>
        <w:sectPr w:rsidR="0043611F" w:rsidRPr="00A91A00" w:rsidSect="00C1246A">
          <w:headerReference w:type="default" r:id="rId9"/>
          <w:footerReference w:type="default" r:id="rId10"/>
          <w:headerReference w:type="first" r:id="rId11"/>
          <w:footerReference w:type="first" r:id="rId12"/>
          <w:pgSz w:w="11901" w:h="16817"/>
          <w:pgMar w:top="426" w:right="1134" w:bottom="1474" w:left="1134" w:header="709" w:footer="963" w:gutter="0"/>
          <w:cols w:space="708"/>
          <w:docGrid w:linePitch="326"/>
        </w:sectPr>
      </w:pPr>
    </w:p>
    <w:p w14:paraId="4688C687" w14:textId="701D1B7A" w:rsidR="0043611F" w:rsidRPr="00C269B2" w:rsidRDefault="0043611F" w:rsidP="00C269B2">
      <w:pPr>
        <w:pStyle w:val="HeadingNew"/>
      </w:pPr>
      <w:r w:rsidRPr="00C269B2">
        <w:rPr>
          <w:rStyle w:val="Heading2Char"/>
          <w:rFonts w:ascii="Calibri Light" w:eastAsia="Cambria" w:hAnsi="Calibri Light" w:cs="Times New Roman"/>
          <w:b/>
          <w:sz w:val="44"/>
          <w:szCs w:val="24"/>
          <w:lang w:val="en-US" w:eastAsia="en-US"/>
        </w:rPr>
        <w:lastRenderedPageBreak/>
        <w:t>Table of Contents</w:t>
      </w:r>
      <w:bookmarkEnd w:id="0"/>
      <w:bookmarkEnd w:id="1"/>
      <w:bookmarkEnd w:id="2"/>
    </w:p>
    <w:p w14:paraId="656E3038" w14:textId="77777777" w:rsidR="0043611F" w:rsidRPr="00A1390E" w:rsidRDefault="0043611F" w:rsidP="000A0A75">
      <w:pPr>
        <w:pStyle w:val="TOC2"/>
        <w:ind w:left="0"/>
        <w:rPr>
          <w:rFonts w:eastAsiaTheme="minorEastAsia"/>
          <w:noProof w:val="0"/>
          <w:kern w:val="0"/>
          <w:sz w:val="28"/>
          <w:szCs w:val="28"/>
          <w:u w:val="none"/>
          <w:lang w:eastAsia="en-AU"/>
        </w:rPr>
      </w:pPr>
      <w:r w:rsidRPr="00A1390E">
        <w:rPr>
          <w:b/>
          <w:bCs/>
          <w:noProof w:val="0"/>
          <w:u w:val="none"/>
        </w:rPr>
        <w:fldChar w:fldCharType="begin"/>
      </w:r>
      <w:r w:rsidRPr="00A1390E">
        <w:rPr>
          <w:b/>
          <w:bCs/>
          <w:noProof w:val="0"/>
          <w:u w:val="none"/>
        </w:rPr>
        <w:instrText xml:space="preserve"> TOC \o "1-3" \h \z \u </w:instrText>
      </w:r>
      <w:r w:rsidRPr="00A1390E">
        <w:rPr>
          <w:b/>
          <w:bCs/>
          <w:noProof w:val="0"/>
          <w:u w:val="none"/>
        </w:rPr>
        <w:fldChar w:fldCharType="separate"/>
      </w:r>
      <w:hyperlink w:anchor="_Toc2206648" w:history="1">
        <w:r w:rsidRPr="00A1390E">
          <w:rPr>
            <w:rStyle w:val="Hyperlink"/>
            <w:rFonts w:eastAsiaTheme="majorEastAsia"/>
            <w:noProof w:val="0"/>
            <w:sz w:val="28"/>
            <w:szCs w:val="28"/>
            <w:u w:val="none"/>
          </w:rPr>
          <w:t>Table of Contents</w:t>
        </w:r>
        <w:r w:rsidRPr="00A1390E">
          <w:rPr>
            <w:noProof w:val="0"/>
            <w:webHidden/>
            <w:sz w:val="28"/>
            <w:szCs w:val="28"/>
            <w:u w:val="none"/>
          </w:rPr>
          <w:tab/>
        </w:r>
        <w:r w:rsidRPr="00A1390E">
          <w:rPr>
            <w:noProof w:val="0"/>
            <w:webHidden/>
            <w:sz w:val="28"/>
            <w:szCs w:val="28"/>
            <w:u w:val="none"/>
          </w:rPr>
          <w:fldChar w:fldCharType="begin"/>
        </w:r>
        <w:r w:rsidRPr="00A1390E">
          <w:rPr>
            <w:noProof w:val="0"/>
            <w:webHidden/>
            <w:sz w:val="28"/>
            <w:szCs w:val="28"/>
            <w:u w:val="none"/>
          </w:rPr>
          <w:instrText xml:space="preserve"> PAGEREF _Toc2206648 \h </w:instrText>
        </w:r>
        <w:r w:rsidRPr="00A1390E">
          <w:rPr>
            <w:noProof w:val="0"/>
            <w:webHidden/>
            <w:sz w:val="28"/>
            <w:szCs w:val="28"/>
            <w:u w:val="none"/>
          </w:rPr>
        </w:r>
        <w:r w:rsidRPr="00A1390E">
          <w:rPr>
            <w:noProof w:val="0"/>
            <w:webHidden/>
            <w:sz w:val="28"/>
            <w:szCs w:val="28"/>
            <w:u w:val="none"/>
          </w:rPr>
          <w:fldChar w:fldCharType="separate"/>
        </w:r>
        <w:r w:rsidRPr="00A1390E">
          <w:rPr>
            <w:noProof w:val="0"/>
            <w:webHidden/>
            <w:sz w:val="28"/>
            <w:szCs w:val="28"/>
            <w:u w:val="none"/>
          </w:rPr>
          <w:t>2</w:t>
        </w:r>
        <w:r w:rsidRPr="00A1390E">
          <w:rPr>
            <w:noProof w:val="0"/>
            <w:webHidden/>
            <w:sz w:val="28"/>
            <w:szCs w:val="28"/>
            <w:u w:val="none"/>
          </w:rPr>
          <w:fldChar w:fldCharType="end"/>
        </w:r>
      </w:hyperlink>
    </w:p>
    <w:p w14:paraId="4F3CCF4D" w14:textId="77777777" w:rsidR="0043611F" w:rsidRPr="00A1390E" w:rsidRDefault="00FB259A" w:rsidP="000A0A75">
      <w:pPr>
        <w:pStyle w:val="TOC2"/>
        <w:ind w:left="0"/>
        <w:rPr>
          <w:rFonts w:eastAsiaTheme="minorEastAsia"/>
          <w:noProof w:val="0"/>
          <w:kern w:val="0"/>
          <w:sz w:val="28"/>
          <w:szCs w:val="28"/>
          <w:u w:val="none"/>
          <w:lang w:eastAsia="en-AU"/>
        </w:rPr>
      </w:pPr>
      <w:hyperlink w:anchor="_Toc2206649" w:history="1">
        <w:r w:rsidR="0043611F" w:rsidRPr="00A1390E">
          <w:rPr>
            <w:rStyle w:val="Hyperlink"/>
            <w:noProof w:val="0"/>
            <w:sz w:val="28"/>
            <w:szCs w:val="28"/>
            <w:u w:val="none"/>
          </w:rPr>
          <w:t>About AFDO</w:t>
        </w:r>
        <w:r w:rsidR="0043611F" w:rsidRPr="00A1390E">
          <w:rPr>
            <w:noProof w:val="0"/>
            <w:webHidden/>
            <w:sz w:val="28"/>
            <w:szCs w:val="28"/>
            <w:u w:val="none"/>
          </w:rPr>
          <w:tab/>
        </w:r>
        <w:r w:rsidR="0043611F" w:rsidRPr="00A1390E">
          <w:rPr>
            <w:noProof w:val="0"/>
            <w:webHidden/>
            <w:sz w:val="28"/>
            <w:szCs w:val="28"/>
            <w:u w:val="none"/>
          </w:rPr>
          <w:fldChar w:fldCharType="begin"/>
        </w:r>
        <w:r w:rsidR="0043611F" w:rsidRPr="00A1390E">
          <w:rPr>
            <w:noProof w:val="0"/>
            <w:webHidden/>
            <w:sz w:val="28"/>
            <w:szCs w:val="28"/>
            <w:u w:val="none"/>
          </w:rPr>
          <w:instrText xml:space="preserve"> PAGEREF _Toc2206649 \h </w:instrText>
        </w:r>
        <w:r w:rsidR="0043611F" w:rsidRPr="00A1390E">
          <w:rPr>
            <w:noProof w:val="0"/>
            <w:webHidden/>
            <w:sz w:val="28"/>
            <w:szCs w:val="28"/>
            <w:u w:val="none"/>
          </w:rPr>
        </w:r>
        <w:r w:rsidR="0043611F" w:rsidRPr="00A1390E">
          <w:rPr>
            <w:noProof w:val="0"/>
            <w:webHidden/>
            <w:sz w:val="28"/>
            <w:szCs w:val="28"/>
            <w:u w:val="none"/>
          </w:rPr>
          <w:fldChar w:fldCharType="separate"/>
        </w:r>
        <w:r w:rsidR="0043611F" w:rsidRPr="00A1390E">
          <w:rPr>
            <w:noProof w:val="0"/>
            <w:webHidden/>
            <w:sz w:val="28"/>
            <w:szCs w:val="28"/>
            <w:u w:val="none"/>
          </w:rPr>
          <w:t>3</w:t>
        </w:r>
        <w:r w:rsidR="0043611F" w:rsidRPr="00A1390E">
          <w:rPr>
            <w:noProof w:val="0"/>
            <w:webHidden/>
            <w:sz w:val="28"/>
            <w:szCs w:val="28"/>
            <w:u w:val="none"/>
          </w:rPr>
          <w:fldChar w:fldCharType="end"/>
        </w:r>
      </w:hyperlink>
    </w:p>
    <w:p w14:paraId="0081C3E0" w14:textId="454305E2" w:rsidR="000C2814" w:rsidRPr="00A1390E" w:rsidRDefault="00C269B2" w:rsidP="000A0A75">
      <w:pPr>
        <w:pStyle w:val="TOC2"/>
        <w:ind w:left="0"/>
        <w:rPr>
          <w:noProof w:val="0"/>
          <w:sz w:val="28"/>
          <w:szCs w:val="28"/>
          <w:u w:val="none"/>
        </w:rPr>
      </w:pPr>
      <w:r w:rsidRPr="00A1390E">
        <w:rPr>
          <w:sz w:val="28"/>
          <w:szCs w:val="28"/>
          <w:u w:val="none"/>
        </w:rPr>
        <w:t>Our Members</w:t>
      </w:r>
      <w:r w:rsidR="00C41DAE" w:rsidRPr="00A1390E">
        <w:rPr>
          <w:sz w:val="28"/>
          <w:szCs w:val="28"/>
          <w:u w:val="none"/>
        </w:rPr>
        <w:tab/>
      </w:r>
      <w:r w:rsidR="000A0A75" w:rsidRPr="00A1390E">
        <w:rPr>
          <w:sz w:val="28"/>
          <w:szCs w:val="28"/>
          <w:u w:val="none"/>
        </w:rPr>
        <w:t>4</w:t>
      </w:r>
      <w:r w:rsidRPr="00A1390E">
        <w:rPr>
          <w:sz w:val="28"/>
          <w:szCs w:val="28"/>
          <w:u w:val="none"/>
        </w:rPr>
        <w:br/>
      </w:r>
      <w:hyperlink w:anchor="_Toc2206650" w:history="1">
        <w:r w:rsidR="0043611F" w:rsidRPr="00A1390E">
          <w:rPr>
            <w:rStyle w:val="Hyperlink"/>
            <w:noProof w:val="0"/>
            <w:sz w:val="28"/>
            <w:szCs w:val="28"/>
            <w:u w:val="none"/>
          </w:rPr>
          <w:t>Acknowledgements</w:t>
        </w:r>
        <w:r w:rsidR="0043611F" w:rsidRPr="00A1390E">
          <w:rPr>
            <w:noProof w:val="0"/>
            <w:webHidden/>
            <w:sz w:val="28"/>
            <w:szCs w:val="28"/>
            <w:u w:val="none"/>
          </w:rPr>
          <w:tab/>
          <w:t>6</w:t>
        </w:r>
      </w:hyperlink>
      <w:r w:rsidR="00B06CBC" w:rsidRPr="00A1390E">
        <w:rPr>
          <w:noProof w:val="0"/>
          <w:sz w:val="28"/>
          <w:szCs w:val="28"/>
          <w:u w:val="none"/>
        </w:rPr>
        <w:br/>
      </w:r>
      <w:r w:rsidR="000038D1">
        <w:rPr>
          <w:noProof w:val="0"/>
          <w:sz w:val="28"/>
          <w:szCs w:val="28"/>
          <w:u w:val="none"/>
        </w:rPr>
        <w:br/>
      </w:r>
      <w:r w:rsidR="00A1390E" w:rsidRPr="00A1390E">
        <w:rPr>
          <w:noProof w:val="0"/>
          <w:sz w:val="28"/>
          <w:szCs w:val="28"/>
          <w:u w:val="none"/>
        </w:rPr>
        <w:t>Introduction</w:t>
      </w:r>
      <w:r w:rsidR="00A1390E" w:rsidRPr="00A1390E">
        <w:rPr>
          <w:noProof w:val="0"/>
          <w:sz w:val="28"/>
          <w:szCs w:val="28"/>
          <w:u w:val="none"/>
        </w:rPr>
        <w:tab/>
        <w:t>7</w:t>
      </w:r>
      <w:r w:rsidR="00973D50">
        <w:rPr>
          <w:noProof w:val="0"/>
          <w:sz w:val="28"/>
          <w:szCs w:val="28"/>
          <w:u w:val="none"/>
        </w:rPr>
        <w:br/>
        <w:t xml:space="preserve">Defining Disability and Long </w:t>
      </w:r>
      <w:r w:rsidR="00F9793D">
        <w:rPr>
          <w:noProof w:val="0"/>
          <w:sz w:val="28"/>
          <w:szCs w:val="28"/>
          <w:u w:val="none"/>
        </w:rPr>
        <w:t>COVID</w:t>
      </w:r>
      <w:r w:rsidR="00973D50">
        <w:rPr>
          <w:noProof w:val="0"/>
          <w:sz w:val="28"/>
          <w:szCs w:val="28"/>
          <w:u w:val="none"/>
        </w:rPr>
        <w:tab/>
      </w:r>
      <w:r w:rsidR="000038D1">
        <w:rPr>
          <w:noProof w:val="0"/>
          <w:sz w:val="28"/>
          <w:szCs w:val="28"/>
          <w:u w:val="none"/>
        </w:rPr>
        <w:t>8</w:t>
      </w:r>
      <w:r w:rsidR="000038D1">
        <w:rPr>
          <w:noProof w:val="0"/>
          <w:sz w:val="28"/>
          <w:szCs w:val="28"/>
          <w:u w:val="none"/>
        </w:rPr>
        <w:br/>
        <w:t xml:space="preserve">Prevalence of Long </w:t>
      </w:r>
      <w:r w:rsidR="00F9793D">
        <w:rPr>
          <w:noProof w:val="0"/>
          <w:sz w:val="28"/>
          <w:szCs w:val="28"/>
          <w:u w:val="none"/>
        </w:rPr>
        <w:t>COVID</w:t>
      </w:r>
      <w:r w:rsidR="000038D1">
        <w:rPr>
          <w:noProof w:val="0"/>
          <w:sz w:val="28"/>
          <w:szCs w:val="28"/>
          <w:u w:val="none"/>
        </w:rPr>
        <w:t xml:space="preserve"> in Australia</w:t>
      </w:r>
      <w:r w:rsidR="000038D1">
        <w:rPr>
          <w:noProof w:val="0"/>
          <w:sz w:val="28"/>
          <w:szCs w:val="28"/>
          <w:u w:val="none"/>
        </w:rPr>
        <w:tab/>
        <w:t>10</w:t>
      </w:r>
      <w:r w:rsidR="00CB622D">
        <w:rPr>
          <w:noProof w:val="0"/>
          <w:sz w:val="28"/>
          <w:szCs w:val="28"/>
          <w:u w:val="none"/>
        </w:rPr>
        <w:br/>
        <w:t>Matters of Significant Concern</w:t>
      </w:r>
      <w:r w:rsidR="00CB622D">
        <w:rPr>
          <w:noProof w:val="0"/>
          <w:sz w:val="28"/>
          <w:szCs w:val="28"/>
          <w:u w:val="none"/>
        </w:rPr>
        <w:tab/>
        <w:t>11</w:t>
      </w:r>
    </w:p>
    <w:p w14:paraId="05C2B058" w14:textId="0A33E645" w:rsidR="000C2814" w:rsidRPr="00A1390E" w:rsidRDefault="00CB622D" w:rsidP="000A0A75">
      <w:pPr>
        <w:pStyle w:val="TOC2"/>
        <w:ind w:left="0"/>
        <w:rPr>
          <w:noProof w:val="0"/>
          <w:sz w:val="28"/>
          <w:szCs w:val="28"/>
          <w:u w:val="none"/>
        </w:rPr>
      </w:pPr>
      <w:r>
        <w:rPr>
          <w:noProof w:val="0"/>
          <w:sz w:val="28"/>
          <w:szCs w:val="28"/>
          <w:u w:val="none"/>
        </w:rPr>
        <w:t>Recommendations</w:t>
      </w:r>
      <w:r>
        <w:rPr>
          <w:noProof w:val="0"/>
          <w:sz w:val="28"/>
          <w:szCs w:val="28"/>
          <w:u w:val="none"/>
        </w:rPr>
        <w:tab/>
      </w:r>
      <w:r w:rsidR="000F2A12">
        <w:rPr>
          <w:noProof w:val="0"/>
          <w:sz w:val="28"/>
          <w:szCs w:val="28"/>
          <w:u w:val="none"/>
        </w:rPr>
        <w:t>16</w:t>
      </w:r>
    </w:p>
    <w:p w14:paraId="0A3BA90F" w14:textId="709D9035" w:rsidR="0043611F" w:rsidRPr="00A1390E" w:rsidRDefault="000F2A12" w:rsidP="000A0A75">
      <w:pPr>
        <w:pStyle w:val="TOC2"/>
        <w:ind w:left="0"/>
        <w:rPr>
          <w:noProof w:val="0"/>
          <w:u w:val="none"/>
        </w:rPr>
      </w:pPr>
      <w:r>
        <w:rPr>
          <w:noProof w:val="0"/>
          <w:sz w:val="28"/>
          <w:szCs w:val="28"/>
          <w:u w:val="none"/>
        </w:rPr>
        <w:br/>
      </w:r>
      <w:r w:rsidR="000C2814" w:rsidRPr="00A1390E">
        <w:rPr>
          <w:noProof w:val="0"/>
          <w:sz w:val="28"/>
          <w:szCs w:val="28"/>
          <w:u w:val="none"/>
        </w:rPr>
        <w:t>Reference</w:t>
      </w:r>
      <w:r>
        <w:rPr>
          <w:noProof w:val="0"/>
          <w:sz w:val="28"/>
          <w:szCs w:val="28"/>
          <w:u w:val="none"/>
        </w:rPr>
        <w:t xml:space="preserve"> List</w:t>
      </w:r>
      <w:r w:rsidR="005318B2" w:rsidRPr="00A1390E">
        <w:rPr>
          <w:noProof w:val="0"/>
          <w:sz w:val="28"/>
          <w:szCs w:val="28"/>
          <w:u w:val="none"/>
        </w:rPr>
        <w:tab/>
      </w:r>
      <w:r>
        <w:rPr>
          <w:noProof w:val="0"/>
          <w:sz w:val="28"/>
          <w:szCs w:val="28"/>
          <w:u w:val="none"/>
        </w:rPr>
        <w:t>18</w:t>
      </w:r>
      <w:r w:rsidR="00AE7FC5" w:rsidRPr="00A1390E">
        <w:rPr>
          <w:noProof w:val="0"/>
          <w:sz w:val="28"/>
          <w:szCs w:val="28"/>
          <w:u w:val="none"/>
        </w:rPr>
        <w:br/>
      </w:r>
      <w:r w:rsidR="0043611F" w:rsidRPr="00A1390E">
        <w:rPr>
          <w:noProof w:val="0"/>
          <w:u w:val="none"/>
        </w:rPr>
        <w:br/>
      </w:r>
    </w:p>
    <w:p w14:paraId="2DD14F62" w14:textId="5E564DB6" w:rsidR="0043611F" w:rsidRPr="00A1390E" w:rsidRDefault="0043611F" w:rsidP="005318B2">
      <w:pPr>
        <w:pStyle w:val="TOC2"/>
        <w:rPr>
          <w:noProof w:val="0"/>
          <w:u w:val="none"/>
        </w:rPr>
      </w:pPr>
    </w:p>
    <w:p w14:paraId="51DF3F83" w14:textId="77777777" w:rsidR="0043611F" w:rsidRPr="00A1390E" w:rsidRDefault="0043611F" w:rsidP="0043611F">
      <w:pPr>
        <w:rPr>
          <w:rFonts w:asciiTheme="minorHAnsi" w:hAnsiTheme="minorHAnsi" w:cstheme="minorHAnsi"/>
          <w:lang w:val="en-AU"/>
        </w:rPr>
      </w:pPr>
    </w:p>
    <w:p w14:paraId="61C9905F" w14:textId="5F743AFC" w:rsidR="0043611F" w:rsidRPr="00A1390E" w:rsidRDefault="0043611F" w:rsidP="0043611F">
      <w:pPr>
        <w:pStyle w:val="Heading2"/>
        <w:rPr>
          <w:rFonts w:asciiTheme="minorHAnsi" w:eastAsia="Cambria" w:hAnsiTheme="minorHAnsi" w:cstheme="minorHAnsi"/>
          <w:b w:val="0"/>
          <w:bCs/>
          <w:smallCaps/>
          <w:sz w:val="24"/>
          <w:szCs w:val="24"/>
        </w:rPr>
      </w:pPr>
      <w:r w:rsidRPr="00A1390E">
        <w:rPr>
          <w:rFonts w:asciiTheme="minorHAnsi" w:eastAsia="Cambria" w:hAnsiTheme="minorHAnsi" w:cstheme="minorHAnsi"/>
          <w:b w:val="0"/>
          <w:bCs/>
          <w:smallCaps/>
          <w:sz w:val="24"/>
          <w:szCs w:val="24"/>
        </w:rPr>
        <w:fldChar w:fldCharType="end"/>
      </w:r>
      <w:bookmarkStart w:id="3" w:name="_Toc254013"/>
      <w:bookmarkStart w:id="4" w:name="_Toc2206649"/>
    </w:p>
    <w:p w14:paraId="0907AFEA" w14:textId="38D0E246" w:rsidR="0043611F" w:rsidRPr="00A1390E" w:rsidRDefault="0043611F" w:rsidP="0043611F">
      <w:pPr>
        <w:rPr>
          <w:lang w:val="en-AU" w:eastAsia="zh-CN"/>
        </w:rPr>
      </w:pPr>
    </w:p>
    <w:p w14:paraId="40855758" w14:textId="7C00F3CA" w:rsidR="0043611F" w:rsidRPr="00A1390E" w:rsidRDefault="0043611F" w:rsidP="0043611F">
      <w:pPr>
        <w:rPr>
          <w:lang w:val="en-AU" w:eastAsia="zh-CN"/>
        </w:rPr>
      </w:pPr>
    </w:p>
    <w:p w14:paraId="4B95755B" w14:textId="3FC41055" w:rsidR="0043611F" w:rsidRPr="00A1390E" w:rsidRDefault="0043611F" w:rsidP="0043611F">
      <w:pPr>
        <w:rPr>
          <w:lang w:val="en-AU" w:eastAsia="zh-CN"/>
        </w:rPr>
      </w:pPr>
    </w:p>
    <w:p w14:paraId="5FB35269" w14:textId="7D6D758F" w:rsidR="0043611F" w:rsidRPr="00A1390E" w:rsidRDefault="0043611F" w:rsidP="0043611F">
      <w:pPr>
        <w:rPr>
          <w:lang w:val="en-AU" w:eastAsia="zh-CN"/>
        </w:rPr>
      </w:pPr>
    </w:p>
    <w:p w14:paraId="6B43F2F8" w14:textId="28CD1665" w:rsidR="0043611F" w:rsidRPr="00A1390E" w:rsidRDefault="0043611F" w:rsidP="0043611F">
      <w:pPr>
        <w:rPr>
          <w:lang w:val="en-AU" w:eastAsia="zh-CN"/>
        </w:rPr>
      </w:pPr>
    </w:p>
    <w:p w14:paraId="5EE0F5BC" w14:textId="77400D5A" w:rsidR="0043611F" w:rsidRPr="00A1390E" w:rsidRDefault="0043611F" w:rsidP="0043611F">
      <w:pPr>
        <w:rPr>
          <w:lang w:val="en-AU" w:eastAsia="zh-CN"/>
        </w:rPr>
      </w:pPr>
    </w:p>
    <w:p w14:paraId="6F4D30A6" w14:textId="7F50535A" w:rsidR="0043611F" w:rsidRPr="00A91A00" w:rsidRDefault="0043611F" w:rsidP="0043611F">
      <w:pPr>
        <w:rPr>
          <w:lang w:val="en-AU" w:eastAsia="zh-CN"/>
        </w:rPr>
      </w:pPr>
    </w:p>
    <w:p w14:paraId="479A980F" w14:textId="6DFA67FD" w:rsidR="0043611F" w:rsidRPr="00A91A00" w:rsidRDefault="0043611F" w:rsidP="0043611F">
      <w:pPr>
        <w:rPr>
          <w:lang w:val="en-AU" w:eastAsia="zh-CN"/>
        </w:rPr>
      </w:pPr>
    </w:p>
    <w:p w14:paraId="3A744035" w14:textId="18D00F4B" w:rsidR="0043611F" w:rsidRPr="00A91A00" w:rsidRDefault="0043611F" w:rsidP="0043611F">
      <w:pPr>
        <w:rPr>
          <w:lang w:val="en-AU" w:eastAsia="zh-CN"/>
        </w:rPr>
      </w:pPr>
    </w:p>
    <w:p w14:paraId="00E76227" w14:textId="47AD2498" w:rsidR="0043611F" w:rsidRPr="00A91A00" w:rsidRDefault="0043611F" w:rsidP="0043611F">
      <w:pPr>
        <w:rPr>
          <w:lang w:val="en-AU" w:eastAsia="zh-CN"/>
        </w:rPr>
      </w:pPr>
    </w:p>
    <w:p w14:paraId="5861BE6C" w14:textId="38D32D6C" w:rsidR="0043611F" w:rsidRPr="00A91A00" w:rsidRDefault="0043611F" w:rsidP="0043611F">
      <w:pPr>
        <w:rPr>
          <w:lang w:val="en-AU" w:eastAsia="zh-CN"/>
        </w:rPr>
      </w:pPr>
    </w:p>
    <w:p w14:paraId="18824933" w14:textId="593EEF82" w:rsidR="0043611F" w:rsidRPr="00A91A00" w:rsidRDefault="0043611F" w:rsidP="0043611F">
      <w:pPr>
        <w:rPr>
          <w:lang w:val="en-AU" w:eastAsia="zh-CN"/>
        </w:rPr>
      </w:pPr>
    </w:p>
    <w:p w14:paraId="637A9025" w14:textId="77777777" w:rsidR="0043611F" w:rsidRPr="00A91A00" w:rsidRDefault="0043611F" w:rsidP="0043611F">
      <w:pPr>
        <w:rPr>
          <w:lang w:val="en-AU"/>
        </w:rPr>
      </w:pPr>
    </w:p>
    <w:p w14:paraId="7C94676B" w14:textId="3A6B5505" w:rsidR="0043611F" w:rsidRPr="00A91A00" w:rsidRDefault="0043611F" w:rsidP="008C4C84">
      <w:pPr>
        <w:pStyle w:val="HeadingNew"/>
      </w:pPr>
      <w:r w:rsidRPr="00A91A00">
        <w:lastRenderedPageBreak/>
        <w:t>About AFDO</w:t>
      </w:r>
      <w:bookmarkEnd w:id="3"/>
      <w:bookmarkEnd w:id="4"/>
      <w:r w:rsidRPr="00A91A00">
        <w:t xml:space="preserve"> </w:t>
      </w:r>
    </w:p>
    <w:p w14:paraId="6450641D" w14:textId="59F00B9A" w:rsidR="0043611F" w:rsidRPr="00A91A00" w:rsidRDefault="0043611F" w:rsidP="0043611F">
      <w:pPr>
        <w:rPr>
          <w:rFonts w:asciiTheme="minorHAnsi" w:hAnsiTheme="minorHAnsi" w:cstheme="minorHAnsi"/>
          <w:lang w:val="en-AU"/>
        </w:rPr>
      </w:pPr>
      <w:r w:rsidRPr="00A91A00">
        <w:rPr>
          <w:rFonts w:asciiTheme="minorHAnsi" w:hAnsiTheme="minorHAnsi" w:cstheme="minorHAnsi"/>
          <w:lang w:val="en-AU"/>
        </w:rPr>
        <w:br/>
        <w:t xml:space="preserve">Since 2003, the Australian Federation of Disability Organisations (AFDO), a Disabled Peoples Organisation (DPO) and Disability Representative Organisation (DRO), has been the recognised national peak organisation in the disability sector, along with its disability specific members, representing people with disability.  AFDO’s mission is to champion the rights of people with disability in Australia and support them to participate fully in Australian life. </w:t>
      </w:r>
    </w:p>
    <w:p w14:paraId="7B1D8A44" w14:textId="77777777" w:rsidR="0043611F" w:rsidRPr="00A91A00" w:rsidRDefault="0043611F" w:rsidP="0043611F">
      <w:pPr>
        <w:rPr>
          <w:rFonts w:asciiTheme="minorHAnsi" w:hAnsiTheme="minorHAnsi" w:cstheme="minorHAnsi"/>
          <w:lang w:val="en-AU"/>
        </w:rPr>
      </w:pPr>
      <w:r w:rsidRPr="00A91A00">
        <w:rPr>
          <w:rFonts w:asciiTheme="minorHAnsi" w:hAnsiTheme="minorHAnsi" w:cstheme="minorHAnsi"/>
          <w:lang w:val="en-AU"/>
        </w:rPr>
        <w:t>Our member organisations represent disability specific communities with a total reach of over 3.8 million Australians.</w:t>
      </w:r>
    </w:p>
    <w:p w14:paraId="374E5BD3" w14:textId="77777777" w:rsidR="0043611F" w:rsidRPr="00A91A00" w:rsidRDefault="0043611F" w:rsidP="0043611F">
      <w:pPr>
        <w:rPr>
          <w:rFonts w:asciiTheme="minorHAnsi" w:hAnsiTheme="minorHAnsi" w:cstheme="minorHAnsi"/>
          <w:lang w:val="en-AU"/>
        </w:rPr>
      </w:pPr>
      <w:r w:rsidRPr="00A91A00">
        <w:rPr>
          <w:rFonts w:asciiTheme="minorHAnsi" w:hAnsiTheme="minorHAnsi" w:cstheme="minorHAnsi"/>
          <w:lang w:val="en-AU"/>
        </w:rPr>
        <w:t>AFDO continues to provide a strong, trusted, independent voice for the disability sector on national policy, inquiries, submissions, systemic advocacy and advisory on government initiatives with the Federal and State/Territory governments.</w:t>
      </w:r>
    </w:p>
    <w:p w14:paraId="542570B6" w14:textId="77777777" w:rsidR="0043611F" w:rsidRPr="00A91A00" w:rsidRDefault="0043611F" w:rsidP="0043611F">
      <w:pPr>
        <w:rPr>
          <w:rFonts w:asciiTheme="minorHAnsi" w:hAnsiTheme="minorHAnsi" w:cstheme="minorHAnsi"/>
          <w:lang w:val="en-AU"/>
        </w:rPr>
      </w:pPr>
      <w:r w:rsidRPr="00A91A00">
        <w:rPr>
          <w:rFonts w:asciiTheme="minorHAnsi" w:hAnsiTheme="minorHAnsi" w:cstheme="minorHAnsi"/>
          <w:lang w:val="en-AU"/>
        </w:rPr>
        <w:t xml:space="preserve">We work to develop a community where people with disability can participate in all aspects of social, economic, </w:t>
      </w:r>
      <w:proofErr w:type="gramStart"/>
      <w:r w:rsidRPr="00A91A00">
        <w:rPr>
          <w:rFonts w:asciiTheme="minorHAnsi" w:hAnsiTheme="minorHAnsi" w:cstheme="minorHAnsi"/>
          <w:lang w:val="en-AU"/>
        </w:rPr>
        <w:t>political</w:t>
      </w:r>
      <w:proofErr w:type="gramEnd"/>
      <w:r w:rsidRPr="00A91A00">
        <w:rPr>
          <w:rFonts w:asciiTheme="minorHAnsi" w:hAnsiTheme="minorHAnsi" w:cstheme="minorHAnsi"/>
          <w:lang w:val="en-AU"/>
        </w:rPr>
        <w:t xml:space="preserve"> and cultural life. This includes genuine participation in mainstream community life, the development of respectful and valued relationships, social and economic participation, and the opportunity to contribute as valued citizens.</w:t>
      </w:r>
    </w:p>
    <w:p w14:paraId="3B61E5C3" w14:textId="77777777" w:rsidR="0043611F" w:rsidRPr="00A91A00" w:rsidRDefault="0043611F" w:rsidP="0043611F">
      <w:pPr>
        <w:rPr>
          <w:rFonts w:asciiTheme="majorHAnsi" w:hAnsiTheme="majorHAnsi" w:cstheme="majorHAnsi"/>
          <w:b/>
          <w:color w:val="00767F"/>
          <w:sz w:val="28"/>
          <w:szCs w:val="28"/>
          <w:lang w:val="en-AU"/>
        </w:rPr>
      </w:pPr>
      <w:r w:rsidRPr="00A91A00">
        <w:rPr>
          <w:rFonts w:asciiTheme="majorHAnsi" w:hAnsiTheme="majorHAnsi" w:cstheme="majorHAnsi"/>
          <w:b/>
          <w:color w:val="00767F"/>
          <w:sz w:val="28"/>
          <w:szCs w:val="28"/>
          <w:lang w:val="en-AU"/>
        </w:rPr>
        <w:t>Our vision</w:t>
      </w:r>
    </w:p>
    <w:p w14:paraId="35B8360B" w14:textId="77777777" w:rsidR="0043611F" w:rsidRPr="00A91A00" w:rsidRDefault="0043611F" w:rsidP="0043611F">
      <w:pPr>
        <w:rPr>
          <w:rFonts w:asciiTheme="minorHAnsi" w:hAnsiTheme="minorHAnsi" w:cstheme="minorHAnsi"/>
          <w:lang w:val="en-AU"/>
        </w:rPr>
      </w:pPr>
      <w:r w:rsidRPr="00A91A00">
        <w:rPr>
          <w:rFonts w:asciiTheme="minorHAnsi" w:hAnsiTheme="minorHAnsi" w:cstheme="minorHAnsi"/>
          <w:lang w:val="en-AU"/>
        </w:rPr>
        <w:t xml:space="preserve">That all people with disabilities must be involved equally in all aspects of social, economic, </w:t>
      </w:r>
      <w:proofErr w:type="gramStart"/>
      <w:r w:rsidRPr="00A91A00">
        <w:rPr>
          <w:rFonts w:asciiTheme="minorHAnsi" w:hAnsiTheme="minorHAnsi" w:cstheme="minorHAnsi"/>
          <w:lang w:val="en-AU"/>
        </w:rPr>
        <w:t>political</w:t>
      </w:r>
      <w:proofErr w:type="gramEnd"/>
      <w:r w:rsidRPr="00A91A00">
        <w:rPr>
          <w:rFonts w:asciiTheme="minorHAnsi" w:hAnsiTheme="minorHAnsi" w:cstheme="minorHAnsi"/>
          <w:lang w:val="en-AU"/>
        </w:rPr>
        <w:t xml:space="preserve"> and cultural life.</w:t>
      </w:r>
    </w:p>
    <w:p w14:paraId="76FE136B" w14:textId="77777777" w:rsidR="0043611F" w:rsidRPr="00A91A00" w:rsidRDefault="0043611F" w:rsidP="0043611F">
      <w:pPr>
        <w:rPr>
          <w:rFonts w:asciiTheme="majorHAnsi" w:hAnsiTheme="majorHAnsi" w:cstheme="majorHAnsi"/>
          <w:b/>
          <w:color w:val="00767F"/>
          <w:sz w:val="28"/>
          <w:szCs w:val="28"/>
          <w:lang w:val="en-AU"/>
        </w:rPr>
      </w:pPr>
      <w:r w:rsidRPr="00A91A00">
        <w:rPr>
          <w:rFonts w:asciiTheme="majorHAnsi" w:hAnsiTheme="majorHAnsi" w:cstheme="majorHAnsi"/>
          <w:b/>
          <w:color w:val="00767F"/>
          <w:sz w:val="28"/>
          <w:szCs w:val="28"/>
          <w:lang w:val="en-AU"/>
        </w:rPr>
        <w:t>Our mission</w:t>
      </w:r>
    </w:p>
    <w:p w14:paraId="0C3BDE65" w14:textId="77777777" w:rsidR="0043611F" w:rsidRPr="00A91A00" w:rsidRDefault="0043611F" w:rsidP="0043611F">
      <w:pPr>
        <w:rPr>
          <w:rFonts w:asciiTheme="minorHAnsi" w:hAnsiTheme="minorHAnsi" w:cstheme="minorHAnsi"/>
          <w:lang w:val="en-AU"/>
        </w:rPr>
      </w:pPr>
      <w:r w:rsidRPr="00A91A00">
        <w:rPr>
          <w:rFonts w:asciiTheme="minorHAnsi" w:hAnsiTheme="minorHAnsi" w:cstheme="minorHAnsi"/>
          <w:lang w:val="en-AU"/>
        </w:rPr>
        <w:t>Using the strength of our membership-based organisations to harness the collective power of uniting people with disability to change society into a community where everyone is equal.</w:t>
      </w:r>
    </w:p>
    <w:p w14:paraId="6FCF792B" w14:textId="77777777" w:rsidR="0043611F" w:rsidRPr="00A91A00" w:rsidRDefault="0043611F" w:rsidP="0043611F">
      <w:pPr>
        <w:rPr>
          <w:rFonts w:asciiTheme="majorHAnsi" w:hAnsiTheme="majorHAnsi" w:cstheme="majorHAnsi"/>
          <w:b/>
          <w:color w:val="00767F"/>
          <w:sz w:val="28"/>
          <w:szCs w:val="28"/>
          <w:lang w:val="en-AU"/>
        </w:rPr>
      </w:pPr>
      <w:r w:rsidRPr="00A91A00">
        <w:rPr>
          <w:rFonts w:asciiTheme="majorHAnsi" w:hAnsiTheme="majorHAnsi" w:cstheme="majorHAnsi"/>
          <w:b/>
          <w:color w:val="00767F"/>
          <w:sz w:val="28"/>
          <w:szCs w:val="28"/>
          <w:lang w:val="en-AU"/>
        </w:rPr>
        <w:t>Our strategic objectives</w:t>
      </w:r>
    </w:p>
    <w:p w14:paraId="05685478" w14:textId="77777777" w:rsidR="0043611F" w:rsidRPr="00A91A00" w:rsidRDefault="0043611F" w:rsidP="0043611F">
      <w:pPr>
        <w:rPr>
          <w:rFonts w:asciiTheme="minorHAnsi" w:hAnsiTheme="minorHAnsi" w:cstheme="minorHAnsi"/>
          <w:lang w:val="en-AU"/>
        </w:rPr>
      </w:pPr>
      <w:r w:rsidRPr="00A91A00">
        <w:rPr>
          <w:rFonts w:asciiTheme="minorHAnsi" w:hAnsiTheme="minorHAnsi" w:cstheme="minorHAnsi"/>
          <w:lang w:val="en-AU"/>
        </w:rPr>
        <w:t>To represent the united voice of our members and people with disability in national initiatives and policy debate.</w:t>
      </w:r>
    </w:p>
    <w:p w14:paraId="0E7D3E2A" w14:textId="77777777" w:rsidR="0043611F" w:rsidRPr="00A91A00" w:rsidRDefault="0043611F" w:rsidP="0043611F">
      <w:pPr>
        <w:rPr>
          <w:rFonts w:asciiTheme="minorHAnsi" w:hAnsiTheme="minorHAnsi" w:cstheme="minorHAnsi"/>
          <w:lang w:val="en-AU"/>
        </w:rPr>
      </w:pPr>
      <w:r w:rsidRPr="00A91A00">
        <w:rPr>
          <w:rFonts w:asciiTheme="minorHAnsi" w:hAnsiTheme="minorHAnsi" w:cstheme="minorHAnsi"/>
          <w:lang w:val="en-AU"/>
        </w:rPr>
        <w:t xml:space="preserve">To enhance the profile, </w:t>
      </w:r>
      <w:proofErr w:type="gramStart"/>
      <w:r w:rsidRPr="00A91A00">
        <w:rPr>
          <w:rFonts w:asciiTheme="minorHAnsi" w:hAnsiTheme="minorHAnsi" w:cstheme="minorHAnsi"/>
          <w:lang w:val="en-AU"/>
        </w:rPr>
        <w:t>respect</w:t>
      </w:r>
      <w:proofErr w:type="gramEnd"/>
      <w:r w:rsidRPr="00A91A00">
        <w:rPr>
          <w:rFonts w:asciiTheme="minorHAnsi" w:hAnsiTheme="minorHAnsi" w:cstheme="minorHAnsi"/>
          <w:lang w:val="en-AU"/>
        </w:rPr>
        <w:t xml:space="preserve"> and reputation for AFDO through our members.</w:t>
      </w:r>
    </w:p>
    <w:p w14:paraId="75C67811" w14:textId="77777777" w:rsidR="0043611F" w:rsidRPr="00A91A00" w:rsidRDefault="0043611F" w:rsidP="0043611F">
      <w:pPr>
        <w:rPr>
          <w:rFonts w:asciiTheme="minorHAnsi" w:hAnsiTheme="minorHAnsi" w:cstheme="minorHAnsi"/>
          <w:lang w:val="en-AU"/>
        </w:rPr>
      </w:pPr>
      <w:r w:rsidRPr="00A91A00">
        <w:rPr>
          <w:rFonts w:asciiTheme="minorHAnsi" w:hAnsiTheme="minorHAnsi" w:cstheme="minorHAnsi"/>
          <w:lang w:val="en-AU"/>
        </w:rPr>
        <w:t>To build the capacity and sustainability of AFDO and our members.</w:t>
      </w:r>
    </w:p>
    <w:p w14:paraId="59F927D3" w14:textId="77777777" w:rsidR="0043611F" w:rsidRPr="00A91A00" w:rsidRDefault="0043611F" w:rsidP="0043611F">
      <w:pPr>
        <w:rPr>
          <w:rFonts w:asciiTheme="minorHAnsi" w:hAnsiTheme="minorHAnsi" w:cstheme="minorHAnsi"/>
          <w:lang w:val="en-AU"/>
        </w:rPr>
      </w:pPr>
      <w:r w:rsidRPr="00A91A00">
        <w:rPr>
          <w:rFonts w:asciiTheme="minorHAnsi" w:hAnsiTheme="minorHAnsi" w:cstheme="minorHAnsi"/>
          <w:lang w:val="en-AU"/>
        </w:rPr>
        <w:t>To foster strong collaboration and engagement between our members and stakeholders.</w:t>
      </w:r>
    </w:p>
    <w:p w14:paraId="7F62C272" w14:textId="77777777" w:rsidR="005318B2" w:rsidRPr="00A91A00" w:rsidRDefault="0043611F" w:rsidP="005318B2">
      <w:pPr>
        <w:rPr>
          <w:rFonts w:asciiTheme="minorHAnsi" w:hAnsiTheme="minorHAnsi" w:cstheme="minorHAnsi"/>
          <w:lang w:val="en-AU"/>
        </w:rPr>
      </w:pPr>
      <w:r w:rsidRPr="00A91A00">
        <w:rPr>
          <w:rFonts w:asciiTheme="minorHAnsi" w:hAnsiTheme="minorHAnsi" w:cstheme="minorHAnsi"/>
          <w:lang w:val="en-AU"/>
        </w:rPr>
        <w:t xml:space="preserve">To enhance AFDO's connection and influence in international disability initiatives, particularly in the Asia Pacific region, through policy, </w:t>
      </w:r>
      <w:proofErr w:type="gramStart"/>
      <w:r w:rsidRPr="00A91A00">
        <w:rPr>
          <w:rFonts w:asciiTheme="minorHAnsi" w:hAnsiTheme="minorHAnsi" w:cstheme="minorHAnsi"/>
          <w:lang w:val="en-AU"/>
        </w:rPr>
        <w:t>advocacy</w:t>
      </w:r>
      <w:proofErr w:type="gramEnd"/>
      <w:r w:rsidRPr="00A91A00">
        <w:rPr>
          <w:rFonts w:asciiTheme="minorHAnsi" w:hAnsiTheme="minorHAnsi" w:cstheme="minorHAnsi"/>
          <w:lang w:val="en-AU"/>
        </w:rPr>
        <w:t xml:space="preserve"> and engagement</w:t>
      </w:r>
    </w:p>
    <w:p w14:paraId="4A668CB6" w14:textId="597883BD" w:rsidR="0043611F" w:rsidRPr="00A91A00" w:rsidRDefault="0043611F" w:rsidP="008C4C84">
      <w:pPr>
        <w:pStyle w:val="HeadingNew"/>
        <w:rPr>
          <w:rFonts w:asciiTheme="minorHAnsi" w:hAnsiTheme="minorHAnsi" w:cstheme="minorHAnsi"/>
          <w:color w:val="auto"/>
          <w:sz w:val="24"/>
          <w:lang w:val="en-AU"/>
        </w:rPr>
      </w:pPr>
      <w:r w:rsidRPr="00A91A00">
        <w:rPr>
          <w:lang w:val="en-AU"/>
        </w:rPr>
        <w:lastRenderedPageBreak/>
        <w:t>Our members</w:t>
      </w:r>
    </w:p>
    <w:p w14:paraId="5B310C11" w14:textId="60CC8C2C" w:rsidR="0043611F" w:rsidRPr="00A91A00" w:rsidRDefault="0043611F" w:rsidP="0043611F">
      <w:pPr>
        <w:spacing w:after="0" w:line="240" w:lineRule="auto"/>
        <w:rPr>
          <w:rFonts w:asciiTheme="minorHAnsi" w:hAnsiTheme="minorHAnsi" w:cstheme="minorHAnsi"/>
          <w:b/>
          <w:lang w:val="en-AU"/>
        </w:rPr>
      </w:pPr>
      <w:r w:rsidRPr="00A91A00">
        <w:rPr>
          <w:rFonts w:asciiTheme="minorHAnsi" w:hAnsiTheme="minorHAnsi" w:cstheme="minorHAnsi"/>
          <w:b/>
          <w:lang w:val="en-AU"/>
        </w:rPr>
        <w:br/>
        <w:t>Full members:</w:t>
      </w:r>
    </w:p>
    <w:p w14:paraId="03A8BBE0"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lang w:val="en-AU"/>
        </w:rPr>
      </w:pPr>
      <w:r w:rsidRPr="00A91A00">
        <w:rPr>
          <w:rFonts w:asciiTheme="minorHAnsi" w:hAnsiTheme="minorHAnsi" w:cstheme="minorHAnsi"/>
          <w:color w:val="000000"/>
          <w:shd w:val="clear" w:color="auto" w:fill="FFFFFF"/>
          <w:lang w:val="en-AU"/>
        </w:rPr>
        <w:t>Arts Access Australia</w:t>
      </w:r>
    </w:p>
    <w:p w14:paraId="7B3C2FBA"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lang w:val="en-AU"/>
        </w:rPr>
      </w:pPr>
      <w:r w:rsidRPr="00A91A00">
        <w:rPr>
          <w:rFonts w:asciiTheme="minorHAnsi" w:hAnsiTheme="minorHAnsi" w:cstheme="minorHAnsi"/>
          <w:color w:val="000000"/>
          <w:shd w:val="clear" w:color="auto" w:fill="FFFFFF"/>
          <w:lang w:val="en-AU"/>
        </w:rPr>
        <w:t xml:space="preserve">Autism </w:t>
      </w:r>
      <w:proofErr w:type="spellStart"/>
      <w:r w:rsidRPr="00A91A00">
        <w:rPr>
          <w:rFonts w:asciiTheme="minorHAnsi" w:hAnsiTheme="minorHAnsi" w:cstheme="minorHAnsi"/>
          <w:color w:val="000000"/>
          <w:shd w:val="clear" w:color="auto" w:fill="FFFFFF"/>
          <w:lang w:val="en-AU"/>
        </w:rPr>
        <w:t>Aspergers</w:t>
      </w:r>
      <w:proofErr w:type="spellEnd"/>
      <w:r w:rsidRPr="00A91A00">
        <w:rPr>
          <w:rFonts w:asciiTheme="minorHAnsi" w:hAnsiTheme="minorHAnsi" w:cstheme="minorHAnsi"/>
          <w:color w:val="000000"/>
          <w:shd w:val="clear" w:color="auto" w:fill="FFFFFF"/>
          <w:lang w:val="en-AU"/>
        </w:rPr>
        <w:t xml:space="preserve"> Advocacy Australia</w:t>
      </w:r>
    </w:p>
    <w:p w14:paraId="4EFFEAFB"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Blind Citizens Australia</w:t>
      </w:r>
    </w:p>
    <w:p w14:paraId="4AE67520"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Brain Injury Australia</w:t>
      </w:r>
    </w:p>
    <w:p w14:paraId="06283395"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Deaf Australia</w:t>
      </w:r>
    </w:p>
    <w:p w14:paraId="4F4F7E45"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Deafblind Australia</w:t>
      </w:r>
    </w:p>
    <w:p w14:paraId="37ABFE2D"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Deafness Forum of Australia</w:t>
      </w:r>
    </w:p>
    <w:p w14:paraId="5C42C768"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Down Syndrome Australia</w:t>
      </w:r>
    </w:p>
    <w:p w14:paraId="08E8D06E"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Disability Advocacy Network Australia</w:t>
      </w:r>
    </w:p>
    <w:p w14:paraId="6690B1CC"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Disability Justice Australia</w:t>
      </w:r>
    </w:p>
    <w:p w14:paraId="5801D4E5"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Disability Resources Centre</w:t>
      </w:r>
    </w:p>
    <w:p w14:paraId="595143B6"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Enhanced Lifestyles</w:t>
      </w:r>
    </w:p>
    <w:p w14:paraId="1D9F73E3"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Multiple Sclerosis Australia</w:t>
      </w:r>
    </w:p>
    <w:p w14:paraId="092D8BFB"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National Mental Health Consumer and Carer Forum (NMHCCF)</w:t>
      </w:r>
    </w:p>
    <w:p w14:paraId="335FDEB9"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People with Disability WA</w:t>
      </w:r>
    </w:p>
    <w:p w14:paraId="7FF01E11"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 xml:space="preserve">People with Disabilities ACT </w:t>
      </w:r>
    </w:p>
    <w:p w14:paraId="39BE8197"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Polio Australia</w:t>
      </w:r>
    </w:p>
    <w:p w14:paraId="5C7E4ACE"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Physical Disability Australia</w:t>
      </w:r>
    </w:p>
    <w:p w14:paraId="7408AF94"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Women with Disabilities Victoria</w:t>
      </w:r>
    </w:p>
    <w:p w14:paraId="0C44AC71" w14:textId="77777777" w:rsidR="0043611F" w:rsidRPr="00A91A00" w:rsidRDefault="0043611F" w:rsidP="00B95C54">
      <w:pPr>
        <w:pStyle w:val="ListParagraph"/>
        <w:numPr>
          <w:ilvl w:val="0"/>
          <w:numId w:val="2"/>
        </w:numPr>
        <w:spacing w:before="0" w:after="0" w:line="240" w:lineRule="auto"/>
        <w:rPr>
          <w:rFonts w:asciiTheme="minorHAnsi" w:hAnsiTheme="minorHAnsi" w:cstheme="minorHAnsi"/>
          <w:color w:val="000000"/>
          <w:shd w:val="clear" w:color="auto" w:fill="FFFFFF"/>
          <w:lang w:val="en-AU"/>
        </w:rPr>
      </w:pPr>
      <w:r w:rsidRPr="00A91A00">
        <w:rPr>
          <w:rFonts w:asciiTheme="minorHAnsi" w:hAnsiTheme="minorHAnsi" w:cstheme="minorHAnsi"/>
          <w:color w:val="000000"/>
          <w:shd w:val="clear" w:color="auto" w:fill="FFFFFF"/>
          <w:lang w:val="en-AU"/>
        </w:rPr>
        <w:t>Women with Disabilities ACT</w:t>
      </w:r>
    </w:p>
    <w:p w14:paraId="41981F47" w14:textId="77777777" w:rsidR="0043611F" w:rsidRPr="00A91A00" w:rsidRDefault="0043611F" w:rsidP="0043611F">
      <w:pPr>
        <w:spacing w:after="0"/>
        <w:rPr>
          <w:rFonts w:asciiTheme="minorHAnsi" w:hAnsiTheme="minorHAnsi" w:cstheme="minorHAnsi"/>
          <w:color w:val="000000"/>
          <w:shd w:val="clear" w:color="auto" w:fill="FFFFFF"/>
          <w:lang w:val="en-AU"/>
        </w:rPr>
      </w:pPr>
    </w:p>
    <w:p w14:paraId="03F4B16D" w14:textId="77777777" w:rsidR="0043611F" w:rsidRPr="00A91A00" w:rsidRDefault="0043611F" w:rsidP="0043611F">
      <w:pPr>
        <w:spacing w:after="0" w:line="240" w:lineRule="auto"/>
        <w:rPr>
          <w:rFonts w:asciiTheme="minorHAnsi" w:hAnsiTheme="minorHAnsi" w:cstheme="minorHAnsi"/>
          <w:b/>
          <w:lang w:val="en-AU"/>
        </w:rPr>
      </w:pPr>
      <w:r w:rsidRPr="00A91A00">
        <w:rPr>
          <w:rFonts w:asciiTheme="minorHAnsi" w:hAnsiTheme="minorHAnsi" w:cstheme="minorHAnsi"/>
          <w:b/>
          <w:lang w:val="en-AU"/>
        </w:rPr>
        <w:t>Associate members:</w:t>
      </w:r>
    </w:p>
    <w:p w14:paraId="5D4752C6" w14:textId="77777777" w:rsidR="0043611F" w:rsidRPr="00A91A00" w:rsidRDefault="0043611F" w:rsidP="00B95C54">
      <w:pPr>
        <w:pStyle w:val="ListParagraph"/>
        <w:numPr>
          <w:ilvl w:val="0"/>
          <w:numId w:val="3"/>
        </w:numPr>
        <w:spacing w:before="0" w:after="0" w:line="240" w:lineRule="auto"/>
        <w:rPr>
          <w:rFonts w:asciiTheme="minorHAnsi" w:hAnsiTheme="minorHAnsi" w:cstheme="minorHAnsi"/>
          <w:lang w:val="en-AU"/>
        </w:rPr>
      </w:pPr>
      <w:r w:rsidRPr="00A91A00">
        <w:rPr>
          <w:rFonts w:asciiTheme="minorHAnsi" w:hAnsiTheme="minorHAnsi" w:cstheme="minorHAnsi"/>
          <w:lang w:val="en-AU"/>
        </w:rPr>
        <w:t xml:space="preserve">AED Legal Centre </w:t>
      </w:r>
    </w:p>
    <w:p w14:paraId="143F6E44" w14:textId="77777777" w:rsidR="0043611F" w:rsidRPr="00A91A00" w:rsidRDefault="0043611F" w:rsidP="00B95C54">
      <w:pPr>
        <w:pStyle w:val="ListParagraph"/>
        <w:numPr>
          <w:ilvl w:val="0"/>
          <w:numId w:val="3"/>
        </w:numPr>
        <w:spacing w:before="0" w:after="0" w:line="240" w:lineRule="auto"/>
        <w:rPr>
          <w:rFonts w:asciiTheme="minorHAnsi" w:hAnsiTheme="minorHAnsi" w:cstheme="minorHAnsi"/>
          <w:lang w:val="en-AU"/>
        </w:rPr>
      </w:pPr>
      <w:r w:rsidRPr="00A91A00">
        <w:rPr>
          <w:rFonts w:asciiTheme="minorHAnsi" w:hAnsiTheme="minorHAnsi" w:cstheme="minorHAnsi"/>
          <w:lang w:val="en-AU"/>
        </w:rPr>
        <w:t>All Means All</w:t>
      </w:r>
    </w:p>
    <w:p w14:paraId="6075F59A" w14:textId="77777777" w:rsidR="0043611F" w:rsidRPr="00A91A00" w:rsidRDefault="0043611F" w:rsidP="00B95C54">
      <w:pPr>
        <w:pStyle w:val="ListParagraph"/>
        <w:numPr>
          <w:ilvl w:val="0"/>
          <w:numId w:val="3"/>
        </w:numPr>
        <w:spacing w:before="0" w:after="0" w:line="240" w:lineRule="auto"/>
        <w:rPr>
          <w:rFonts w:asciiTheme="minorHAnsi" w:hAnsiTheme="minorHAnsi" w:cstheme="minorHAnsi"/>
          <w:lang w:val="en-AU"/>
        </w:rPr>
      </w:pPr>
      <w:r w:rsidRPr="00A91A00">
        <w:rPr>
          <w:rFonts w:asciiTheme="minorHAnsi" w:hAnsiTheme="minorHAnsi" w:cstheme="minorHAnsi"/>
          <w:lang w:val="en-AU"/>
        </w:rPr>
        <w:t xml:space="preserve">Amaze </w:t>
      </w:r>
    </w:p>
    <w:p w14:paraId="285BF90D" w14:textId="77777777" w:rsidR="0043611F" w:rsidRPr="00A91A00" w:rsidRDefault="0043611F" w:rsidP="00B95C54">
      <w:pPr>
        <w:pStyle w:val="ListParagraph"/>
        <w:numPr>
          <w:ilvl w:val="0"/>
          <w:numId w:val="3"/>
        </w:numPr>
        <w:spacing w:before="0" w:after="0" w:line="240" w:lineRule="auto"/>
        <w:rPr>
          <w:rFonts w:asciiTheme="minorHAnsi" w:hAnsiTheme="minorHAnsi" w:cstheme="minorHAnsi"/>
          <w:lang w:val="en-AU"/>
        </w:rPr>
      </w:pPr>
      <w:proofErr w:type="spellStart"/>
      <w:r w:rsidRPr="00A91A00">
        <w:rPr>
          <w:rFonts w:asciiTheme="minorHAnsi" w:hAnsiTheme="minorHAnsi" w:cstheme="minorHAnsi"/>
          <w:lang w:val="en-AU"/>
        </w:rPr>
        <w:t>Aspergers</w:t>
      </w:r>
      <w:proofErr w:type="spellEnd"/>
      <w:r w:rsidRPr="00A91A00">
        <w:rPr>
          <w:rFonts w:asciiTheme="minorHAnsi" w:hAnsiTheme="minorHAnsi" w:cstheme="minorHAnsi"/>
          <w:lang w:val="en-AU"/>
        </w:rPr>
        <w:t xml:space="preserve"> Victoria</w:t>
      </w:r>
    </w:p>
    <w:p w14:paraId="6B6E34F9" w14:textId="77777777" w:rsidR="0043611F" w:rsidRPr="00A91A00" w:rsidRDefault="0043611F" w:rsidP="00B95C54">
      <w:pPr>
        <w:pStyle w:val="ListParagraph"/>
        <w:numPr>
          <w:ilvl w:val="0"/>
          <w:numId w:val="3"/>
        </w:numPr>
        <w:spacing w:before="0" w:after="0" w:line="240" w:lineRule="auto"/>
        <w:rPr>
          <w:rFonts w:asciiTheme="minorHAnsi" w:hAnsiTheme="minorHAnsi" w:cstheme="minorHAnsi"/>
          <w:lang w:val="en-AU"/>
        </w:rPr>
      </w:pPr>
      <w:r w:rsidRPr="00A91A00">
        <w:rPr>
          <w:rFonts w:asciiTheme="minorHAnsi" w:hAnsiTheme="minorHAnsi" w:cstheme="minorHAnsi"/>
          <w:lang w:val="en-AU"/>
        </w:rPr>
        <w:t>Disability Advocacy and Complaints Service of South Australia (DACSSA)</w:t>
      </w:r>
    </w:p>
    <w:p w14:paraId="7DF318B5" w14:textId="77777777" w:rsidR="0043611F" w:rsidRPr="00A91A00" w:rsidRDefault="0043611F" w:rsidP="00B95C54">
      <w:pPr>
        <w:pStyle w:val="ListParagraph"/>
        <w:numPr>
          <w:ilvl w:val="0"/>
          <w:numId w:val="3"/>
        </w:numPr>
        <w:spacing w:before="0" w:after="0" w:line="240" w:lineRule="auto"/>
        <w:rPr>
          <w:rFonts w:asciiTheme="minorHAnsi" w:hAnsiTheme="minorHAnsi" w:cstheme="minorHAnsi"/>
          <w:lang w:val="en-AU"/>
        </w:rPr>
      </w:pPr>
      <w:r w:rsidRPr="00A91A00">
        <w:rPr>
          <w:rFonts w:asciiTheme="minorHAnsi" w:hAnsiTheme="minorHAnsi" w:cstheme="minorHAnsi"/>
          <w:lang w:val="en-AU"/>
        </w:rPr>
        <w:t>Disability Law Queensland</w:t>
      </w:r>
    </w:p>
    <w:p w14:paraId="7207D974" w14:textId="77777777" w:rsidR="0043611F" w:rsidRPr="00A91A00" w:rsidRDefault="0043611F" w:rsidP="00B95C54">
      <w:pPr>
        <w:pStyle w:val="ListParagraph"/>
        <w:numPr>
          <w:ilvl w:val="0"/>
          <w:numId w:val="3"/>
        </w:numPr>
        <w:spacing w:before="0" w:after="0" w:line="240" w:lineRule="auto"/>
        <w:rPr>
          <w:rFonts w:asciiTheme="minorHAnsi" w:hAnsiTheme="minorHAnsi" w:cstheme="minorHAnsi"/>
          <w:lang w:val="en-AU"/>
        </w:rPr>
      </w:pPr>
      <w:r w:rsidRPr="00A91A00">
        <w:rPr>
          <w:rFonts w:asciiTheme="minorHAnsi" w:hAnsiTheme="minorHAnsi" w:cstheme="minorHAnsi"/>
          <w:lang w:val="en-AU"/>
        </w:rPr>
        <w:t>Leadership Plus</w:t>
      </w:r>
    </w:p>
    <w:p w14:paraId="322E212A" w14:textId="77777777" w:rsidR="0043611F" w:rsidRPr="00A91A00" w:rsidRDefault="0043611F" w:rsidP="00B95C54">
      <w:pPr>
        <w:pStyle w:val="ListParagraph"/>
        <w:numPr>
          <w:ilvl w:val="0"/>
          <w:numId w:val="3"/>
        </w:numPr>
        <w:spacing w:before="0" w:after="0" w:line="240" w:lineRule="auto"/>
        <w:rPr>
          <w:rFonts w:asciiTheme="minorHAnsi" w:hAnsiTheme="minorHAnsi" w:cstheme="minorHAnsi"/>
          <w:lang w:val="en-AU"/>
        </w:rPr>
      </w:pPr>
      <w:r w:rsidRPr="00A91A00">
        <w:rPr>
          <w:rFonts w:asciiTheme="minorHAnsi" w:hAnsiTheme="minorHAnsi" w:cstheme="minorHAnsi"/>
          <w:lang w:val="en-AU"/>
        </w:rPr>
        <w:t xml:space="preserve">National Organisation for </w:t>
      </w:r>
      <w:proofErr w:type="spellStart"/>
      <w:r w:rsidRPr="00A91A00">
        <w:rPr>
          <w:rFonts w:asciiTheme="minorHAnsi" w:hAnsiTheme="minorHAnsi" w:cstheme="minorHAnsi"/>
          <w:lang w:val="en-AU"/>
        </w:rPr>
        <w:t>Fetal</w:t>
      </w:r>
      <w:proofErr w:type="spellEnd"/>
      <w:r w:rsidRPr="00A91A00">
        <w:rPr>
          <w:rFonts w:asciiTheme="minorHAnsi" w:hAnsiTheme="minorHAnsi" w:cstheme="minorHAnsi"/>
          <w:lang w:val="en-AU"/>
        </w:rPr>
        <w:t xml:space="preserve"> Alcohol Spectrum Disorder (NOFASD)</w:t>
      </w:r>
    </w:p>
    <w:p w14:paraId="2EBB22FF" w14:textId="77777777" w:rsidR="0043611F" w:rsidRPr="00A91A00" w:rsidRDefault="0043611F" w:rsidP="00B95C54">
      <w:pPr>
        <w:pStyle w:val="ListParagraph"/>
        <w:numPr>
          <w:ilvl w:val="0"/>
          <w:numId w:val="3"/>
        </w:numPr>
        <w:spacing w:before="0" w:after="0" w:line="240" w:lineRule="auto"/>
        <w:rPr>
          <w:rFonts w:asciiTheme="minorHAnsi" w:hAnsiTheme="minorHAnsi" w:cstheme="minorHAnsi"/>
          <w:lang w:val="en-AU"/>
        </w:rPr>
      </w:pPr>
      <w:r w:rsidRPr="00A91A00">
        <w:rPr>
          <w:rFonts w:asciiTheme="minorHAnsi" w:hAnsiTheme="minorHAnsi" w:cstheme="minorHAnsi"/>
          <w:lang w:val="en-AU"/>
        </w:rPr>
        <w:t>Star Victoria</w:t>
      </w:r>
    </w:p>
    <w:p w14:paraId="5C3A6933" w14:textId="77777777" w:rsidR="0043611F" w:rsidRPr="00A91A00" w:rsidRDefault="0043611F" w:rsidP="00B95C54">
      <w:pPr>
        <w:pStyle w:val="ListParagraph"/>
        <w:numPr>
          <w:ilvl w:val="0"/>
          <w:numId w:val="3"/>
        </w:numPr>
        <w:spacing w:before="0" w:after="0" w:line="240" w:lineRule="auto"/>
        <w:rPr>
          <w:rFonts w:asciiTheme="minorHAnsi" w:hAnsiTheme="minorHAnsi" w:cstheme="minorHAnsi"/>
          <w:lang w:val="en-AU"/>
        </w:rPr>
      </w:pPr>
      <w:r w:rsidRPr="00A91A00">
        <w:rPr>
          <w:rFonts w:asciiTheme="minorHAnsi" w:hAnsiTheme="minorHAnsi" w:cstheme="minorHAnsi"/>
          <w:lang w:val="en-AU"/>
        </w:rPr>
        <w:t>TASC National Limited</w:t>
      </w:r>
    </w:p>
    <w:p w14:paraId="47E2BE31" w14:textId="77777777" w:rsidR="0043611F" w:rsidRPr="00A91A00" w:rsidRDefault="0043611F" w:rsidP="00B95C54">
      <w:pPr>
        <w:pStyle w:val="ListParagraph"/>
        <w:numPr>
          <w:ilvl w:val="0"/>
          <w:numId w:val="3"/>
        </w:numPr>
        <w:spacing w:before="0" w:after="0" w:line="240" w:lineRule="auto"/>
        <w:rPr>
          <w:rFonts w:asciiTheme="minorHAnsi" w:hAnsiTheme="minorHAnsi" w:cstheme="minorHAnsi"/>
          <w:lang w:val="en-AU"/>
        </w:rPr>
      </w:pPr>
      <w:r w:rsidRPr="00A91A00">
        <w:rPr>
          <w:rFonts w:asciiTheme="minorHAnsi" w:hAnsiTheme="minorHAnsi" w:cstheme="minorHAnsi"/>
          <w:lang w:val="en-AU"/>
        </w:rPr>
        <w:t xml:space="preserve">YDAS – Youth Disability Advocacy Service </w:t>
      </w:r>
    </w:p>
    <w:p w14:paraId="60A73085" w14:textId="77777777" w:rsidR="0043611F" w:rsidRPr="00A91A00" w:rsidRDefault="0043611F" w:rsidP="0043611F">
      <w:pPr>
        <w:spacing w:after="0" w:line="240" w:lineRule="auto"/>
        <w:jc w:val="center"/>
        <w:rPr>
          <w:rFonts w:asciiTheme="minorHAnsi" w:hAnsiTheme="minorHAnsi" w:cstheme="minorHAnsi"/>
          <w:lang w:val="en-AU" w:eastAsia="en-AU"/>
        </w:rPr>
      </w:pPr>
    </w:p>
    <w:p w14:paraId="08FD4C8A" w14:textId="77777777" w:rsidR="0043611F" w:rsidRPr="00A91A00" w:rsidRDefault="0043611F" w:rsidP="0043611F">
      <w:pPr>
        <w:spacing w:after="0" w:line="240" w:lineRule="auto"/>
        <w:jc w:val="center"/>
        <w:rPr>
          <w:rFonts w:asciiTheme="minorHAnsi" w:hAnsiTheme="minorHAnsi" w:cstheme="minorHAnsi"/>
          <w:lang w:val="en-AU"/>
        </w:rPr>
      </w:pPr>
      <w:r w:rsidRPr="00A91A00">
        <w:rPr>
          <w:rFonts w:asciiTheme="minorHAnsi" w:hAnsiTheme="minorHAnsi" w:cstheme="minorHAnsi"/>
          <w:noProof/>
          <w:lang w:val="en-AU" w:eastAsia="en-AU"/>
        </w:rPr>
        <w:lastRenderedPageBreak/>
        <w:drawing>
          <wp:inline distT="0" distB="0" distL="0" distR="0" wp14:anchorId="129D70C1" wp14:editId="3CFB4480">
            <wp:extent cx="6116955" cy="4886960"/>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16955" cy="4886960"/>
                    </a:xfrm>
                    <a:prstGeom prst="rect">
                      <a:avLst/>
                    </a:prstGeom>
                  </pic:spPr>
                </pic:pic>
              </a:graphicData>
            </a:graphic>
          </wp:inline>
        </w:drawing>
      </w:r>
    </w:p>
    <w:p w14:paraId="186AA944" w14:textId="77777777" w:rsidR="0043611F" w:rsidRPr="00A91A00" w:rsidRDefault="0043611F" w:rsidP="0043611F">
      <w:pPr>
        <w:rPr>
          <w:lang w:val="en-AU"/>
        </w:rPr>
      </w:pPr>
    </w:p>
    <w:p w14:paraId="5AF6AD6A" w14:textId="77777777" w:rsidR="0043611F" w:rsidRPr="00A91A00" w:rsidRDefault="0043611F" w:rsidP="0043611F">
      <w:pPr>
        <w:rPr>
          <w:lang w:val="en-AU"/>
        </w:rPr>
      </w:pPr>
    </w:p>
    <w:p w14:paraId="57126F65" w14:textId="77777777" w:rsidR="0043611F" w:rsidRPr="00A91A00" w:rsidRDefault="0043611F" w:rsidP="0043611F">
      <w:pPr>
        <w:rPr>
          <w:lang w:val="en-AU"/>
        </w:rPr>
      </w:pPr>
    </w:p>
    <w:p w14:paraId="6A41B67C" w14:textId="77777777" w:rsidR="0043611F" w:rsidRPr="00A91A00" w:rsidRDefault="0043611F" w:rsidP="0043611F">
      <w:pPr>
        <w:rPr>
          <w:lang w:val="en-AU"/>
        </w:rPr>
      </w:pPr>
    </w:p>
    <w:p w14:paraId="5D8A139D" w14:textId="77777777" w:rsidR="0043611F" w:rsidRPr="00A91A00" w:rsidRDefault="0043611F" w:rsidP="0043611F">
      <w:pPr>
        <w:rPr>
          <w:lang w:val="en-AU"/>
        </w:rPr>
      </w:pPr>
    </w:p>
    <w:p w14:paraId="6FC403A0" w14:textId="77777777" w:rsidR="0043611F" w:rsidRPr="00A91A00" w:rsidRDefault="0043611F" w:rsidP="0043611F">
      <w:pPr>
        <w:rPr>
          <w:lang w:val="en-AU"/>
        </w:rPr>
      </w:pPr>
    </w:p>
    <w:p w14:paraId="2757658F" w14:textId="77777777" w:rsidR="0043611F" w:rsidRPr="00A91A00" w:rsidRDefault="0043611F" w:rsidP="0043611F">
      <w:pPr>
        <w:rPr>
          <w:lang w:val="en-AU"/>
        </w:rPr>
      </w:pPr>
    </w:p>
    <w:p w14:paraId="4FA62295" w14:textId="77777777" w:rsidR="0043611F" w:rsidRPr="00A91A00" w:rsidRDefault="0043611F" w:rsidP="0043611F">
      <w:pPr>
        <w:rPr>
          <w:lang w:val="en-AU"/>
        </w:rPr>
      </w:pPr>
    </w:p>
    <w:p w14:paraId="2FD2A308" w14:textId="306BA1CA" w:rsidR="005318B2" w:rsidRPr="00A91A00" w:rsidRDefault="005318B2" w:rsidP="0043611F">
      <w:pPr>
        <w:pStyle w:val="Heading2"/>
        <w:rPr>
          <w:color w:val="006666"/>
          <w:sz w:val="44"/>
          <w:szCs w:val="44"/>
        </w:rPr>
      </w:pPr>
    </w:p>
    <w:p w14:paraId="05D376F6" w14:textId="4D39FF28" w:rsidR="005318B2" w:rsidRPr="00A91A00" w:rsidRDefault="005318B2" w:rsidP="005318B2">
      <w:pPr>
        <w:rPr>
          <w:lang w:val="en-AU" w:eastAsia="zh-CN"/>
        </w:rPr>
      </w:pPr>
    </w:p>
    <w:p w14:paraId="2FC3AE8B" w14:textId="03C8FA7C" w:rsidR="0043611F" w:rsidRPr="00A91A00" w:rsidRDefault="0043611F" w:rsidP="00B16458">
      <w:pPr>
        <w:pStyle w:val="HeadingNew"/>
        <w:rPr>
          <w:lang w:val="en-AU"/>
        </w:rPr>
      </w:pPr>
      <w:r w:rsidRPr="00A91A00">
        <w:rPr>
          <w:lang w:val="en-AU"/>
        </w:rPr>
        <w:lastRenderedPageBreak/>
        <w:t>Acknowledgements</w:t>
      </w:r>
      <w:r w:rsidRPr="00A91A00">
        <w:rPr>
          <w:rFonts w:asciiTheme="minorHAnsi" w:hAnsiTheme="minorHAnsi" w:cstheme="minorHAnsi"/>
          <w:lang w:val="en-AU"/>
        </w:rPr>
        <w:br/>
      </w:r>
      <w:r w:rsidR="00B16458" w:rsidRPr="00A91A00">
        <w:rPr>
          <w:rFonts w:ascii="Calibri" w:hAnsi="Calibri" w:cs="Calibri"/>
          <w:b w:val="0"/>
          <w:bCs/>
          <w:color w:val="auto"/>
          <w:sz w:val="24"/>
          <w:lang w:val="en-AU"/>
        </w:rPr>
        <w:br/>
      </w:r>
      <w:r w:rsidRPr="00A91A00">
        <w:rPr>
          <w:rFonts w:ascii="Calibri" w:hAnsi="Calibri" w:cs="Calibri"/>
          <w:b w:val="0"/>
          <w:bCs/>
          <w:color w:val="auto"/>
          <w:sz w:val="24"/>
          <w:lang w:val="en-AU"/>
        </w:rPr>
        <w:t xml:space="preserve">AFDO acknowledges Aboriginal and Torres Strait Islander people as the traditional custodians of the land on which we stand, recognising their continuing connection to land, waters, and community. From our head office in Melbourne, we pay our respects to the Bunurong Boon Wurrung and Wurundjeri </w:t>
      </w:r>
      <w:proofErr w:type="spellStart"/>
      <w:r w:rsidRPr="00A91A00">
        <w:rPr>
          <w:rFonts w:ascii="Calibri" w:hAnsi="Calibri" w:cs="Calibri"/>
          <w:b w:val="0"/>
          <w:bCs/>
          <w:color w:val="auto"/>
          <w:sz w:val="24"/>
          <w:lang w:val="en-AU"/>
        </w:rPr>
        <w:t>Woi</w:t>
      </w:r>
      <w:proofErr w:type="spellEnd"/>
      <w:r w:rsidRPr="00A91A00">
        <w:rPr>
          <w:rFonts w:ascii="Calibri" w:hAnsi="Calibri" w:cs="Calibri"/>
          <w:b w:val="0"/>
          <w:bCs/>
          <w:color w:val="auto"/>
          <w:sz w:val="24"/>
          <w:lang w:val="en-AU"/>
        </w:rPr>
        <w:t xml:space="preserve"> Wurrung peoples of the Eastern Kulin Nation and to their Elders past, present, and emerging. We also pay our respects to the traditional owners of all lands on which we operate or meet around the country.</w:t>
      </w:r>
    </w:p>
    <w:p w14:paraId="010BCB9D" w14:textId="77777777" w:rsidR="0043611F" w:rsidRPr="00A91A00" w:rsidRDefault="0043611F" w:rsidP="0043611F">
      <w:pPr>
        <w:rPr>
          <w:rFonts w:asciiTheme="minorHAnsi" w:hAnsiTheme="minorHAnsi" w:cstheme="minorHAnsi"/>
          <w:kern w:val="0"/>
          <w:sz w:val="22"/>
          <w:szCs w:val="22"/>
          <w:lang w:val="en-AU"/>
        </w:rPr>
      </w:pPr>
      <w:r w:rsidRPr="00A91A00">
        <w:rPr>
          <w:rFonts w:asciiTheme="minorHAnsi" w:hAnsiTheme="minorHAnsi" w:cstheme="minorHAnsi"/>
          <w:lang w:val="en-AU"/>
        </w:rPr>
        <w:t xml:space="preserve">AFDO acknowledges people with disability, </w:t>
      </w:r>
      <w:r w:rsidRPr="00A91A00">
        <w:rPr>
          <w:rFonts w:asciiTheme="minorHAnsi" w:hAnsiTheme="minorHAnsi" w:cstheme="minorHAnsi"/>
          <w:iCs/>
          <w:lang w:val="en-AU"/>
        </w:rPr>
        <w:t>particularly those individuals that have experienced or are continuing to experience violence, abuse, neglect, and exploitation. We also acknowledge their families, supporters, and representative organisations and express our thanks for the continuing work we all do in their support.</w:t>
      </w:r>
    </w:p>
    <w:p w14:paraId="3C8EF398" w14:textId="6804BF41" w:rsidR="0043611F" w:rsidRDefault="0043611F" w:rsidP="0043611F">
      <w:pPr>
        <w:rPr>
          <w:rFonts w:asciiTheme="minorHAnsi" w:hAnsiTheme="minorHAnsi" w:cstheme="minorHAnsi"/>
          <w:lang w:val="en-AU"/>
        </w:rPr>
      </w:pPr>
    </w:p>
    <w:p w14:paraId="192A01DF" w14:textId="39B02661" w:rsidR="00534DBA" w:rsidRPr="00A91A00" w:rsidRDefault="00534DBA" w:rsidP="0043611F">
      <w:pPr>
        <w:rPr>
          <w:rFonts w:asciiTheme="minorHAnsi" w:hAnsiTheme="minorHAnsi" w:cstheme="minorHAnsi"/>
          <w:lang w:val="en-AU"/>
        </w:rPr>
      </w:pPr>
      <w:r w:rsidRPr="00534DBA">
        <w:rPr>
          <w:rFonts w:asciiTheme="minorHAnsi" w:hAnsiTheme="minorHAnsi" w:cstheme="minorHAnsi"/>
          <w:b/>
          <w:bCs/>
          <w:lang w:val="en-AU"/>
        </w:rPr>
        <w:t>Report Author:</w:t>
      </w:r>
      <w:r>
        <w:rPr>
          <w:rFonts w:asciiTheme="minorHAnsi" w:hAnsiTheme="minorHAnsi" w:cstheme="minorHAnsi"/>
          <w:lang w:val="en-AU"/>
        </w:rPr>
        <w:t xml:space="preserve"> Rebecca Rudd, Coordinator – Policy and Submissions</w:t>
      </w:r>
    </w:p>
    <w:p w14:paraId="5323D27B" w14:textId="32A9A2ED" w:rsidR="0043611F" w:rsidRPr="00A91A00" w:rsidRDefault="0043611F" w:rsidP="0043611F">
      <w:pPr>
        <w:rPr>
          <w:rFonts w:asciiTheme="minorHAnsi" w:hAnsiTheme="minorHAnsi" w:cstheme="minorHAnsi"/>
          <w:lang w:val="en-AU"/>
        </w:rPr>
      </w:pPr>
    </w:p>
    <w:p w14:paraId="30DC231C" w14:textId="083BA7D1" w:rsidR="0043611F" w:rsidRPr="00A91A00" w:rsidRDefault="0043611F" w:rsidP="0043611F">
      <w:pPr>
        <w:rPr>
          <w:rFonts w:asciiTheme="minorHAnsi" w:hAnsiTheme="minorHAnsi" w:cstheme="minorHAnsi"/>
          <w:lang w:val="en-AU"/>
        </w:rPr>
      </w:pPr>
    </w:p>
    <w:p w14:paraId="73A1AAB4" w14:textId="1C1EBAEC" w:rsidR="0043611F" w:rsidRPr="00A91A00" w:rsidRDefault="0043611F" w:rsidP="0043611F">
      <w:pPr>
        <w:rPr>
          <w:rFonts w:asciiTheme="minorHAnsi" w:hAnsiTheme="minorHAnsi" w:cstheme="minorHAnsi"/>
          <w:lang w:val="en-AU"/>
        </w:rPr>
      </w:pPr>
    </w:p>
    <w:p w14:paraId="61F5A934" w14:textId="286915F2" w:rsidR="0043611F" w:rsidRPr="00A91A00" w:rsidRDefault="0043611F" w:rsidP="0043611F">
      <w:pPr>
        <w:rPr>
          <w:rFonts w:asciiTheme="minorHAnsi" w:hAnsiTheme="minorHAnsi" w:cstheme="minorHAnsi"/>
          <w:lang w:val="en-AU"/>
        </w:rPr>
      </w:pPr>
    </w:p>
    <w:p w14:paraId="627BA786" w14:textId="3CD6ABE0" w:rsidR="0043611F" w:rsidRPr="00A91A00" w:rsidRDefault="0043611F" w:rsidP="0043611F">
      <w:pPr>
        <w:rPr>
          <w:rFonts w:asciiTheme="minorHAnsi" w:hAnsiTheme="minorHAnsi" w:cstheme="minorHAnsi"/>
          <w:lang w:val="en-AU"/>
        </w:rPr>
      </w:pPr>
    </w:p>
    <w:p w14:paraId="134F5F29" w14:textId="0F1A1AC9" w:rsidR="005318B2" w:rsidRPr="00A91A00" w:rsidRDefault="005318B2" w:rsidP="0043611F">
      <w:pPr>
        <w:rPr>
          <w:rFonts w:asciiTheme="minorHAnsi" w:hAnsiTheme="minorHAnsi" w:cstheme="minorHAnsi"/>
          <w:lang w:val="en-AU"/>
        </w:rPr>
      </w:pPr>
    </w:p>
    <w:p w14:paraId="778259C6" w14:textId="5EBAE914" w:rsidR="00542E74" w:rsidRPr="00A91A00" w:rsidRDefault="00542E74" w:rsidP="0043611F">
      <w:pPr>
        <w:rPr>
          <w:rFonts w:asciiTheme="minorHAnsi" w:hAnsiTheme="minorHAnsi" w:cstheme="minorHAnsi"/>
          <w:lang w:val="en-AU"/>
        </w:rPr>
      </w:pPr>
    </w:p>
    <w:p w14:paraId="438C90B0" w14:textId="02978369" w:rsidR="00542E74" w:rsidRPr="00A91A00" w:rsidRDefault="00542E74" w:rsidP="0043611F">
      <w:pPr>
        <w:rPr>
          <w:rFonts w:asciiTheme="minorHAnsi" w:hAnsiTheme="minorHAnsi" w:cstheme="minorHAnsi"/>
          <w:lang w:val="en-AU"/>
        </w:rPr>
      </w:pPr>
    </w:p>
    <w:p w14:paraId="099913F6" w14:textId="509F7C6A" w:rsidR="00542E74" w:rsidRPr="00A91A00" w:rsidRDefault="00542E74" w:rsidP="0043611F">
      <w:pPr>
        <w:rPr>
          <w:rFonts w:asciiTheme="minorHAnsi" w:hAnsiTheme="minorHAnsi" w:cstheme="minorHAnsi"/>
          <w:lang w:val="en-AU"/>
        </w:rPr>
      </w:pPr>
    </w:p>
    <w:p w14:paraId="1174DA40" w14:textId="4AE57515" w:rsidR="00542E74" w:rsidRPr="00A91A00" w:rsidRDefault="00542E74" w:rsidP="0043611F">
      <w:pPr>
        <w:rPr>
          <w:rFonts w:asciiTheme="minorHAnsi" w:hAnsiTheme="minorHAnsi" w:cstheme="minorHAnsi"/>
          <w:lang w:val="en-AU"/>
        </w:rPr>
      </w:pPr>
    </w:p>
    <w:p w14:paraId="5FC98A6F" w14:textId="51D09C11" w:rsidR="00542E74" w:rsidRPr="00A91A00" w:rsidRDefault="00542E74" w:rsidP="0043611F">
      <w:pPr>
        <w:rPr>
          <w:rFonts w:asciiTheme="minorHAnsi" w:hAnsiTheme="minorHAnsi" w:cstheme="minorHAnsi"/>
          <w:lang w:val="en-AU"/>
        </w:rPr>
      </w:pPr>
    </w:p>
    <w:p w14:paraId="4B00068D" w14:textId="5B0828E9" w:rsidR="00542E74" w:rsidRPr="00A91A00" w:rsidRDefault="00542E74" w:rsidP="0043611F">
      <w:pPr>
        <w:rPr>
          <w:rFonts w:asciiTheme="minorHAnsi" w:hAnsiTheme="minorHAnsi" w:cstheme="minorHAnsi"/>
          <w:lang w:val="en-AU"/>
        </w:rPr>
      </w:pPr>
    </w:p>
    <w:p w14:paraId="63165CBE" w14:textId="6BF0C6A7" w:rsidR="00542E74" w:rsidRPr="00A91A00" w:rsidRDefault="00542E74" w:rsidP="0043611F">
      <w:pPr>
        <w:rPr>
          <w:rFonts w:asciiTheme="minorHAnsi" w:hAnsiTheme="minorHAnsi" w:cstheme="minorHAnsi"/>
          <w:lang w:val="en-AU"/>
        </w:rPr>
      </w:pPr>
    </w:p>
    <w:p w14:paraId="0F01E883" w14:textId="5741962C" w:rsidR="00542E74" w:rsidRPr="00A91A00" w:rsidRDefault="00542E74" w:rsidP="0043611F">
      <w:pPr>
        <w:rPr>
          <w:rFonts w:asciiTheme="minorHAnsi" w:hAnsiTheme="minorHAnsi" w:cstheme="minorHAnsi"/>
          <w:lang w:val="en-AU"/>
        </w:rPr>
      </w:pPr>
    </w:p>
    <w:p w14:paraId="4147DD3F" w14:textId="2AE78C8D" w:rsidR="00542E74" w:rsidRPr="00A91A00" w:rsidRDefault="00542E74" w:rsidP="0043611F">
      <w:pPr>
        <w:rPr>
          <w:rFonts w:asciiTheme="minorHAnsi" w:hAnsiTheme="minorHAnsi" w:cstheme="minorHAnsi"/>
          <w:lang w:val="en-AU"/>
        </w:rPr>
      </w:pPr>
    </w:p>
    <w:p w14:paraId="3C615A46" w14:textId="2CADC42C" w:rsidR="003A692C" w:rsidRPr="00A91A00" w:rsidRDefault="003A692C" w:rsidP="00542E74">
      <w:pPr>
        <w:pStyle w:val="HeadingNew"/>
        <w:rPr>
          <w:lang w:val="en-AU"/>
        </w:rPr>
      </w:pPr>
      <w:r w:rsidRPr="00A91A00">
        <w:rPr>
          <w:lang w:val="en-AU"/>
        </w:rPr>
        <w:lastRenderedPageBreak/>
        <w:t>Introduction</w:t>
      </w:r>
    </w:p>
    <w:p w14:paraId="70E737B5" w14:textId="77777777" w:rsidR="000611D2" w:rsidRPr="00A91A00" w:rsidRDefault="006342C8" w:rsidP="006342C8">
      <w:pPr>
        <w:rPr>
          <w:rFonts w:asciiTheme="minorHAnsi" w:hAnsiTheme="minorHAnsi" w:cstheme="minorHAnsi"/>
          <w:lang w:val="en-AU"/>
        </w:rPr>
      </w:pPr>
      <w:r w:rsidRPr="00A91A00">
        <w:rPr>
          <w:rFonts w:asciiTheme="minorHAnsi" w:hAnsiTheme="minorHAnsi" w:cstheme="minorHAnsi"/>
          <w:lang w:val="en-AU"/>
        </w:rPr>
        <w:t>As a national peak organisation, AFDO and its members represent disability specific communities with a total reach of over 3.8 million Australians. AFDO is dedicated to undertaking systemic advocacy across a range of disability types</w:t>
      </w:r>
      <w:r w:rsidR="000611D2" w:rsidRPr="00A91A00">
        <w:rPr>
          <w:rFonts w:asciiTheme="minorHAnsi" w:hAnsiTheme="minorHAnsi" w:cstheme="minorHAnsi"/>
          <w:lang w:val="en-AU"/>
        </w:rPr>
        <w:t>,</w:t>
      </w:r>
      <w:r w:rsidRPr="00A91A00">
        <w:rPr>
          <w:rFonts w:asciiTheme="minorHAnsi" w:hAnsiTheme="minorHAnsi" w:cstheme="minorHAnsi"/>
          <w:lang w:val="en-AU"/>
        </w:rPr>
        <w:t xml:space="preserve"> with the goal of enabling all people with disability to be involved equally in all aspects of social, economic, political, and cultural life. </w:t>
      </w:r>
    </w:p>
    <w:p w14:paraId="3EC8772A" w14:textId="2F09D4C9" w:rsidR="006342C8" w:rsidRPr="00A91A00" w:rsidRDefault="006342C8" w:rsidP="006342C8">
      <w:pPr>
        <w:rPr>
          <w:rFonts w:asciiTheme="minorHAnsi" w:hAnsiTheme="minorHAnsi" w:cstheme="minorHAnsi"/>
          <w:lang w:val="en-AU"/>
        </w:rPr>
      </w:pPr>
      <w:r w:rsidRPr="00A91A00">
        <w:rPr>
          <w:rFonts w:asciiTheme="minorHAnsi" w:hAnsiTheme="minorHAnsi" w:cstheme="minorHAnsi"/>
          <w:lang w:val="en-AU"/>
        </w:rPr>
        <w:t xml:space="preserve">AFDO welcomes the opportunity to </w:t>
      </w:r>
      <w:r w:rsidR="00A976D0" w:rsidRPr="00A91A00">
        <w:rPr>
          <w:rFonts w:asciiTheme="minorHAnsi" w:hAnsiTheme="minorHAnsi" w:cstheme="minorHAnsi"/>
          <w:lang w:val="en-AU"/>
        </w:rPr>
        <w:t>provide</w:t>
      </w:r>
      <w:r w:rsidRPr="00A91A00">
        <w:rPr>
          <w:rFonts w:asciiTheme="minorHAnsi" w:hAnsiTheme="minorHAnsi" w:cstheme="minorHAnsi"/>
          <w:lang w:val="en-AU"/>
        </w:rPr>
        <w:t xml:space="preserve"> comment on the </w:t>
      </w:r>
      <w:r w:rsidR="00A976D0" w:rsidRPr="00A91A00">
        <w:rPr>
          <w:rFonts w:asciiTheme="minorHAnsi" w:hAnsiTheme="minorHAnsi" w:cstheme="minorHAnsi"/>
          <w:i/>
          <w:iCs/>
          <w:lang w:val="en-AU"/>
        </w:rPr>
        <w:t xml:space="preserve">Inquiry into Long </w:t>
      </w:r>
      <w:r w:rsidR="00F9793D">
        <w:rPr>
          <w:rFonts w:asciiTheme="minorHAnsi" w:hAnsiTheme="minorHAnsi" w:cstheme="minorHAnsi"/>
          <w:i/>
          <w:iCs/>
          <w:lang w:val="en-AU"/>
        </w:rPr>
        <w:t>COVID</w:t>
      </w:r>
      <w:r w:rsidR="00A976D0" w:rsidRPr="00A91A00">
        <w:rPr>
          <w:rFonts w:asciiTheme="minorHAnsi" w:hAnsiTheme="minorHAnsi" w:cstheme="minorHAnsi"/>
          <w:i/>
          <w:iCs/>
          <w:lang w:val="en-AU"/>
        </w:rPr>
        <w:t xml:space="preserve"> and Repeated </w:t>
      </w:r>
      <w:r w:rsidR="00F9793D">
        <w:rPr>
          <w:rFonts w:asciiTheme="minorHAnsi" w:hAnsiTheme="minorHAnsi" w:cstheme="minorHAnsi"/>
          <w:i/>
          <w:iCs/>
          <w:lang w:val="en-AU"/>
        </w:rPr>
        <w:t>COVID</w:t>
      </w:r>
      <w:r w:rsidR="00A976D0" w:rsidRPr="00A91A00">
        <w:rPr>
          <w:rFonts w:asciiTheme="minorHAnsi" w:hAnsiTheme="minorHAnsi" w:cstheme="minorHAnsi"/>
          <w:i/>
          <w:iCs/>
          <w:lang w:val="en-AU"/>
        </w:rPr>
        <w:t xml:space="preserve"> Infections</w:t>
      </w:r>
      <w:r w:rsidR="000611D2" w:rsidRPr="00A91A00">
        <w:rPr>
          <w:rFonts w:asciiTheme="minorHAnsi" w:hAnsiTheme="minorHAnsi" w:cstheme="minorHAnsi"/>
          <w:lang w:val="en-AU"/>
        </w:rPr>
        <w:t xml:space="preserve"> (the Inquiry)</w:t>
      </w:r>
      <w:r w:rsidRPr="00A91A00">
        <w:rPr>
          <w:rFonts w:asciiTheme="minorHAnsi" w:hAnsiTheme="minorHAnsi" w:cstheme="minorHAnsi"/>
          <w:lang w:val="en-AU"/>
        </w:rPr>
        <w:t xml:space="preserve"> and </w:t>
      </w:r>
      <w:r w:rsidR="00581FFA" w:rsidRPr="00A91A00">
        <w:rPr>
          <w:rFonts w:asciiTheme="minorHAnsi" w:hAnsiTheme="minorHAnsi" w:cstheme="minorHAnsi"/>
          <w:lang w:val="en-AU"/>
        </w:rPr>
        <w:t xml:space="preserve">thanks the </w:t>
      </w:r>
      <w:r w:rsidR="005178F1" w:rsidRPr="00A91A00">
        <w:rPr>
          <w:rFonts w:asciiTheme="minorHAnsi" w:hAnsiTheme="minorHAnsi" w:cstheme="minorHAnsi"/>
          <w:lang w:val="en-AU"/>
        </w:rPr>
        <w:t>Standing Committee on Health, Aged Care and Sport (the Committee)</w:t>
      </w:r>
      <w:r w:rsidR="00581FFA" w:rsidRPr="00A91A00">
        <w:rPr>
          <w:rFonts w:asciiTheme="minorHAnsi" w:hAnsiTheme="minorHAnsi" w:cstheme="minorHAnsi"/>
          <w:lang w:val="en-AU"/>
        </w:rPr>
        <w:t xml:space="preserve"> for their consideration in </w:t>
      </w:r>
      <w:r w:rsidR="005178F1" w:rsidRPr="00A91A00">
        <w:rPr>
          <w:rFonts w:asciiTheme="minorHAnsi" w:hAnsiTheme="minorHAnsi" w:cstheme="minorHAnsi"/>
          <w:lang w:val="en-AU"/>
        </w:rPr>
        <w:t>allowing</w:t>
      </w:r>
      <w:r w:rsidR="0092049B" w:rsidRPr="00A91A00">
        <w:rPr>
          <w:rFonts w:asciiTheme="minorHAnsi" w:hAnsiTheme="minorHAnsi" w:cstheme="minorHAnsi"/>
          <w:lang w:val="en-AU"/>
        </w:rPr>
        <w:t xml:space="preserve"> extra time </w:t>
      </w:r>
      <w:r w:rsidR="005178F1" w:rsidRPr="00A91A00">
        <w:rPr>
          <w:rFonts w:asciiTheme="minorHAnsi" w:hAnsiTheme="minorHAnsi" w:cstheme="minorHAnsi"/>
          <w:lang w:val="en-AU"/>
        </w:rPr>
        <w:t>for the completion of this submission.</w:t>
      </w:r>
    </w:p>
    <w:p w14:paraId="6055D2B4" w14:textId="264A85BC" w:rsidR="00117C8B" w:rsidRPr="00F133BA" w:rsidRDefault="00F406E7" w:rsidP="00637E3F">
      <w:pPr>
        <w:rPr>
          <w:rFonts w:asciiTheme="minorHAnsi" w:hAnsiTheme="minorHAnsi" w:cstheme="minorHAnsi"/>
          <w:lang w:val="en-AU"/>
        </w:rPr>
      </w:pPr>
      <w:r w:rsidRPr="00A91A00">
        <w:rPr>
          <w:rFonts w:asciiTheme="minorHAnsi" w:hAnsiTheme="minorHAnsi" w:cstheme="minorHAnsi"/>
          <w:lang w:val="en-AU"/>
        </w:rPr>
        <w:t xml:space="preserve">In this </w:t>
      </w:r>
      <w:r w:rsidR="002D5221" w:rsidRPr="00A91A00">
        <w:rPr>
          <w:rFonts w:asciiTheme="minorHAnsi" w:hAnsiTheme="minorHAnsi" w:cstheme="minorHAnsi"/>
          <w:lang w:val="en-AU"/>
        </w:rPr>
        <w:t>s</w:t>
      </w:r>
      <w:r w:rsidRPr="00A91A00">
        <w:rPr>
          <w:rFonts w:asciiTheme="minorHAnsi" w:hAnsiTheme="minorHAnsi" w:cstheme="minorHAnsi"/>
          <w:lang w:val="en-AU"/>
        </w:rPr>
        <w:t>ubmission, AFDO</w:t>
      </w:r>
      <w:r w:rsidR="000C7CD6" w:rsidRPr="00A91A00">
        <w:rPr>
          <w:rFonts w:asciiTheme="minorHAnsi" w:hAnsiTheme="minorHAnsi" w:cstheme="minorHAnsi"/>
          <w:lang w:val="en-AU"/>
        </w:rPr>
        <w:t xml:space="preserve"> will </w:t>
      </w:r>
      <w:r w:rsidR="00637E3F" w:rsidRPr="00A91A00">
        <w:rPr>
          <w:rFonts w:asciiTheme="minorHAnsi" w:hAnsiTheme="minorHAnsi" w:cstheme="minorHAnsi"/>
          <w:lang w:val="en-AU"/>
        </w:rPr>
        <w:t xml:space="preserve">approach </w:t>
      </w:r>
      <w:r w:rsidRPr="00A91A00">
        <w:rPr>
          <w:rFonts w:asciiTheme="minorHAnsi" w:hAnsiTheme="minorHAnsi" w:cstheme="minorHAnsi"/>
          <w:lang w:val="en-AU"/>
        </w:rPr>
        <w:t xml:space="preserve">the issue of Long </w:t>
      </w:r>
      <w:r w:rsidR="00F9793D">
        <w:rPr>
          <w:rFonts w:asciiTheme="minorHAnsi" w:hAnsiTheme="minorHAnsi" w:cstheme="minorHAnsi"/>
          <w:lang w:val="en-AU"/>
        </w:rPr>
        <w:t>COVID</w:t>
      </w:r>
      <w:r w:rsidR="002D5221" w:rsidRPr="00A91A00">
        <w:rPr>
          <w:rFonts w:asciiTheme="minorHAnsi" w:hAnsiTheme="minorHAnsi" w:cstheme="minorHAnsi"/>
          <w:lang w:val="en-AU"/>
        </w:rPr>
        <w:t xml:space="preserve"> and repeated </w:t>
      </w:r>
      <w:r w:rsidR="00F9793D">
        <w:rPr>
          <w:rFonts w:asciiTheme="minorHAnsi" w:hAnsiTheme="minorHAnsi" w:cstheme="minorHAnsi"/>
          <w:lang w:val="en-AU"/>
        </w:rPr>
        <w:t>COVID</w:t>
      </w:r>
      <w:r w:rsidR="002D5221" w:rsidRPr="00A91A00">
        <w:rPr>
          <w:rFonts w:asciiTheme="minorHAnsi" w:hAnsiTheme="minorHAnsi" w:cstheme="minorHAnsi"/>
          <w:lang w:val="en-AU"/>
        </w:rPr>
        <w:t xml:space="preserve"> infections</w:t>
      </w:r>
      <w:r w:rsidR="00637E3F" w:rsidRPr="00A91A00">
        <w:rPr>
          <w:rFonts w:asciiTheme="minorHAnsi" w:hAnsiTheme="minorHAnsi" w:cstheme="minorHAnsi"/>
          <w:lang w:val="en-AU"/>
        </w:rPr>
        <w:t xml:space="preserve"> from a disability-centred perspective</w:t>
      </w:r>
      <w:r w:rsidR="0047761F" w:rsidRPr="00A91A00">
        <w:rPr>
          <w:rFonts w:asciiTheme="minorHAnsi" w:hAnsiTheme="minorHAnsi" w:cstheme="minorHAnsi"/>
          <w:lang w:val="en-AU"/>
        </w:rPr>
        <w:t>, with the understanding that</w:t>
      </w:r>
      <w:r w:rsidR="002E2B4F" w:rsidRPr="00A91A00">
        <w:rPr>
          <w:rFonts w:asciiTheme="minorHAnsi" w:hAnsiTheme="minorHAnsi" w:cstheme="minorHAnsi"/>
          <w:lang w:val="en-AU"/>
        </w:rPr>
        <w:t xml:space="preserve"> Long </w:t>
      </w:r>
      <w:r w:rsidR="00F9793D">
        <w:rPr>
          <w:rFonts w:asciiTheme="minorHAnsi" w:hAnsiTheme="minorHAnsi" w:cstheme="minorHAnsi"/>
          <w:lang w:val="en-AU"/>
        </w:rPr>
        <w:t>COVID</w:t>
      </w:r>
      <w:r w:rsidR="002E2B4F" w:rsidRPr="00A91A00">
        <w:rPr>
          <w:rFonts w:asciiTheme="minorHAnsi" w:hAnsiTheme="minorHAnsi" w:cstheme="minorHAnsi"/>
          <w:lang w:val="en-AU"/>
        </w:rPr>
        <w:t xml:space="preserve"> </w:t>
      </w:r>
      <w:r w:rsidR="000611D2" w:rsidRPr="00A91A00">
        <w:rPr>
          <w:rFonts w:asciiTheme="minorHAnsi" w:hAnsiTheme="minorHAnsi" w:cstheme="minorHAnsi"/>
          <w:lang w:val="en-AU"/>
        </w:rPr>
        <w:t>is</w:t>
      </w:r>
      <w:r w:rsidR="002E2B4F" w:rsidRPr="00A91A00">
        <w:rPr>
          <w:rFonts w:asciiTheme="minorHAnsi" w:hAnsiTheme="minorHAnsi" w:cstheme="minorHAnsi"/>
          <w:lang w:val="en-AU"/>
        </w:rPr>
        <w:t xml:space="preserve"> a chronic illness that constitutes a disability under the UNCRPD definition.</w:t>
      </w:r>
      <w:r w:rsidR="002E2B4F" w:rsidRPr="00A91A00">
        <w:rPr>
          <w:rStyle w:val="FootnoteReference"/>
          <w:rFonts w:asciiTheme="minorHAnsi" w:hAnsiTheme="minorHAnsi" w:cstheme="minorHAnsi"/>
          <w:lang w:val="en-AU"/>
        </w:rPr>
        <w:footnoteReference w:id="2"/>
      </w:r>
      <w:r w:rsidR="002E2B4F" w:rsidRPr="00A91A00">
        <w:rPr>
          <w:rFonts w:asciiTheme="minorHAnsi" w:hAnsiTheme="minorHAnsi" w:cstheme="minorHAnsi"/>
          <w:lang w:val="en-AU"/>
        </w:rPr>
        <w:t xml:space="preserve"> AFDO understands that the findings of this Parliamentary Inquiry will inform the national response</w:t>
      </w:r>
      <w:r w:rsidR="00540457" w:rsidRPr="00A91A00">
        <w:rPr>
          <w:rFonts w:asciiTheme="minorHAnsi" w:hAnsiTheme="minorHAnsi" w:cstheme="minorHAnsi"/>
          <w:lang w:val="en-AU"/>
        </w:rPr>
        <w:t xml:space="preserve">, and so this submission will raise </w:t>
      </w:r>
      <w:proofErr w:type="gramStart"/>
      <w:r w:rsidR="00540457" w:rsidRPr="00A91A00">
        <w:rPr>
          <w:rFonts w:asciiTheme="minorHAnsi" w:hAnsiTheme="minorHAnsi" w:cstheme="minorHAnsi"/>
          <w:lang w:val="en-AU"/>
        </w:rPr>
        <w:t>a number of</w:t>
      </w:r>
      <w:proofErr w:type="gramEnd"/>
      <w:r w:rsidR="00540457" w:rsidRPr="00A91A00">
        <w:rPr>
          <w:rFonts w:asciiTheme="minorHAnsi" w:hAnsiTheme="minorHAnsi" w:cstheme="minorHAnsi"/>
          <w:lang w:val="en-AU"/>
        </w:rPr>
        <w:t xml:space="preserve"> issues that ought to be taken into account.</w:t>
      </w:r>
      <w:r w:rsidR="005F028F">
        <w:rPr>
          <w:rFonts w:asciiTheme="minorHAnsi" w:hAnsiTheme="minorHAnsi" w:cstheme="minorHAnsi"/>
          <w:lang w:val="en-AU"/>
        </w:rPr>
        <w:t xml:space="preserve"> In line with the </w:t>
      </w:r>
      <w:r w:rsidR="00B16961">
        <w:rPr>
          <w:rFonts w:asciiTheme="minorHAnsi" w:hAnsiTheme="minorHAnsi" w:cstheme="minorHAnsi"/>
          <w:lang w:val="en-AU"/>
        </w:rPr>
        <w:t>Committee’s request, AFDO has endeavoured to keep this submission as concise as possible.</w:t>
      </w:r>
    </w:p>
    <w:p w14:paraId="557F5A46" w14:textId="11844969" w:rsidR="00B00D4B" w:rsidRPr="00A91A00" w:rsidRDefault="00FF0D5F" w:rsidP="00637E3F">
      <w:pPr>
        <w:rPr>
          <w:rFonts w:asciiTheme="minorHAnsi" w:hAnsiTheme="minorHAnsi" w:cstheme="minorHAnsi"/>
          <w:lang w:val="en-AU"/>
        </w:rPr>
      </w:pPr>
      <w:r>
        <w:rPr>
          <w:rFonts w:asciiTheme="minorHAnsi" w:hAnsiTheme="minorHAnsi" w:cstheme="minorHAnsi"/>
          <w:lang w:val="en-AU"/>
        </w:rPr>
        <w:t xml:space="preserve">This submission will largely be responding to the following </w:t>
      </w:r>
      <w:r w:rsidR="00F133BA">
        <w:rPr>
          <w:rFonts w:asciiTheme="minorHAnsi" w:hAnsiTheme="minorHAnsi" w:cstheme="minorHAnsi"/>
          <w:lang w:val="en-AU"/>
        </w:rPr>
        <w:t>two points from the Terms of Reference:</w:t>
      </w:r>
    </w:p>
    <w:p w14:paraId="772C5EC8" w14:textId="77632A19" w:rsidR="00A2760A" w:rsidRPr="00F133BA" w:rsidRDefault="00A2760A" w:rsidP="00B95C54">
      <w:pPr>
        <w:pStyle w:val="ListParagraph"/>
        <w:numPr>
          <w:ilvl w:val="0"/>
          <w:numId w:val="6"/>
        </w:numPr>
        <w:rPr>
          <w:rFonts w:asciiTheme="minorHAnsi" w:hAnsiTheme="minorHAnsi" w:cstheme="minorHAnsi"/>
          <w:lang w:val="en-AU"/>
        </w:rPr>
      </w:pPr>
      <w:r w:rsidRPr="00F133BA">
        <w:rPr>
          <w:rFonts w:asciiTheme="minorHAnsi" w:hAnsiTheme="minorHAnsi" w:cstheme="minorHAnsi"/>
          <w:lang w:val="en-AU"/>
        </w:rPr>
        <w:t xml:space="preserve">The health, social, </w:t>
      </w:r>
      <w:proofErr w:type="gramStart"/>
      <w:r w:rsidRPr="00F133BA">
        <w:rPr>
          <w:rFonts w:asciiTheme="minorHAnsi" w:hAnsiTheme="minorHAnsi" w:cstheme="minorHAnsi"/>
          <w:lang w:val="en-AU"/>
        </w:rPr>
        <w:t>educational</w:t>
      </w:r>
      <w:proofErr w:type="gramEnd"/>
      <w:r w:rsidRPr="00F133BA">
        <w:rPr>
          <w:rFonts w:asciiTheme="minorHAnsi" w:hAnsiTheme="minorHAnsi" w:cstheme="minorHAnsi"/>
          <w:lang w:val="en-AU"/>
        </w:rPr>
        <w:t xml:space="preserve"> and economic impacts in Australia on individuals who develop long </w:t>
      </w:r>
      <w:r w:rsidR="00F9793D">
        <w:rPr>
          <w:rFonts w:asciiTheme="minorHAnsi" w:hAnsiTheme="minorHAnsi" w:cstheme="minorHAnsi"/>
          <w:lang w:val="en-AU"/>
        </w:rPr>
        <w:t>COVID</w:t>
      </w:r>
      <w:r w:rsidRPr="00F133BA">
        <w:rPr>
          <w:rFonts w:asciiTheme="minorHAnsi" w:hAnsiTheme="minorHAnsi" w:cstheme="minorHAnsi"/>
          <w:lang w:val="en-AU"/>
        </w:rPr>
        <w:t xml:space="preserve"> and/or have repeated </w:t>
      </w:r>
      <w:r w:rsidR="00F9793D">
        <w:rPr>
          <w:rFonts w:asciiTheme="minorHAnsi" w:hAnsiTheme="minorHAnsi" w:cstheme="minorHAnsi"/>
          <w:lang w:val="en-AU"/>
        </w:rPr>
        <w:t>COVID</w:t>
      </w:r>
      <w:r w:rsidRPr="00F133BA">
        <w:rPr>
          <w:rFonts w:asciiTheme="minorHAnsi" w:hAnsiTheme="minorHAnsi" w:cstheme="minorHAnsi"/>
          <w:lang w:val="en-AU"/>
        </w:rPr>
        <w:t xml:space="preserve"> infections, their families, and the broader community, including for groups that face a greater risk of serious illness due to factors such as age, existing health conditions, disability and background;</w:t>
      </w:r>
      <w:r w:rsidR="00F10669">
        <w:rPr>
          <w:rFonts w:asciiTheme="minorHAnsi" w:hAnsiTheme="minorHAnsi" w:cstheme="minorHAnsi"/>
          <w:lang w:val="en-AU"/>
        </w:rPr>
        <w:t xml:space="preserve"> and</w:t>
      </w:r>
      <w:r w:rsidRPr="00F133BA">
        <w:rPr>
          <w:rFonts w:asciiTheme="minorHAnsi" w:hAnsiTheme="minorHAnsi" w:cstheme="minorHAnsi"/>
          <w:lang w:val="en-AU"/>
        </w:rPr>
        <w:br/>
      </w:r>
    </w:p>
    <w:p w14:paraId="7A332E9F" w14:textId="74DEDDC0" w:rsidR="003A692C" w:rsidRPr="00F133BA" w:rsidRDefault="00A2760A" w:rsidP="00B95C54">
      <w:pPr>
        <w:pStyle w:val="ListParagraph"/>
        <w:numPr>
          <w:ilvl w:val="0"/>
          <w:numId w:val="7"/>
        </w:numPr>
        <w:rPr>
          <w:rFonts w:asciiTheme="minorHAnsi" w:hAnsiTheme="minorHAnsi" w:cstheme="minorHAnsi"/>
          <w:lang w:val="en-AU"/>
        </w:rPr>
      </w:pPr>
      <w:r w:rsidRPr="00F133BA">
        <w:rPr>
          <w:rFonts w:asciiTheme="minorHAnsi" w:hAnsiTheme="minorHAnsi" w:cstheme="minorHAnsi"/>
          <w:lang w:val="en-AU"/>
        </w:rPr>
        <w:t xml:space="preserve">Best practice responses regarding the prevention, </w:t>
      </w:r>
      <w:r w:rsidR="00C1210F" w:rsidRPr="00F133BA">
        <w:rPr>
          <w:rFonts w:asciiTheme="minorHAnsi" w:hAnsiTheme="minorHAnsi" w:cstheme="minorHAnsi"/>
          <w:lang w:val="en-AU"/>
        </w:rPr>
        <w:t>diagnosis,</w:t>
      </w:r>
      <w:r w:rsidRPr="00F133BA">
        <w:rPr>
          <w:rFonts w:asciiTheme="minorHAnsi" w:hAnsiTheme="minorHAnsi" w:cstheme="minorHAnsi"/>
          <w:lang w:val="en-AU"/>
        </w:rPr>
        <w:t xml:space="preserve"> and treatment of long </w:t>
      </w:r>
      <w:r w:rsidR="00F9793D">
        <w:rPr>
          <w:rFonts w:asciiTheme="minorHAnsi" w:hAnsiTheme="minorHAnsi" w:cstheme="minorHAnsi"/>
          <w:lang w:val="en-AU"/>
        </w:rPr>
        <w:t>COVID</w:t>
      </w:r>
      <w:r w:rsidRPr="00F133BA">
        <w:rPr>
          <w:rFonts w:asciiTheme="minorHAnsi" w:hAnsiTheme="minorHAnsi" w:cstheme="minorHAnsi"/>
          <w:lang w:val="en-AU"/>
        </w:rPr>
        <w:t xml:space="preserve"> and/or repeated </w:t>
      </w:r>
      <w:r w:rsidR="00F9793D">
        <w:rPr>
          <w:rFonts w:asciiTheme="minorHAnsi" w:hAnsiTheme="minorHAnsi" w:cstheme="minorHAnsi"/>
          <w:lang w:val="en-AU"/>
        </w:rPr>
        <w:t>COVID</w:t>
      </w:r>
      <w:r w:rsidRPr="00F133BA">
        <w:rPr>
          <w:rFonts w:asciiTheme="minorHAnsi" w:hAnsiTheme="minorHAnsi" w:cstheme="minorHAnsi"/>
          <w:lang w:val="en-AU"/>
        </w:rPr>
        <w:t xml:space="preserve"> infections, both in Australia and internationally.</w:t>
      </w:r>
    </w:p>
    <w:p w14:paraId="2DC5EF51" w14:textId="7CC82B55" w:rsidR="009F214F" w:rsidRPr="00137C94" w:rsidRDefault="009F214F" w:rsidP="009F214F">
      <w:pPr>
        <w:rPr>
          <w:rFonts w:asciiTheme="minorHAnsi" w:hAnsiTheme="minorHAnsi" w:cstheme="minorHAnsi"/>
          <w:highlight w:val="yellow"/>
          <w:lang w:val="en-AU"/>
        </w:rPr>
      </w:pPr>
    </w:p>
    <w:p w14:paraId="49DCD5C9" w14:textId="585C5F71" w:rsidR="00A2760A" w:rsidRPr="000E4CB1" w:rsidRDefault="008E0EFF" w:rsidP="000E4CB1">
      <w:pPr>
        <w:pStyle w:val="HeadingNew"/>
      </w:pPr>
      <w:r w:rsidRPr="000E4CB1">
        <w:lastRenderedPageBreak/>
        <w:t xml:space="preserve">Defining </w:t>
      </w:r>
      <w:r w:rsidR="0065363A" w:rsidRPr="000E4CB1">
        <w:t xml:space="preserve">Disability and Long </w:t>
      </w:r>
      <w:r w:rsidR="00F9793D">
        <w:t>COVID</w:t>
      </w:r>
    </w:p>
    <w:p w14:paraId="6F3704BA" w14:textId="6D47F163" w:rsidR="00FA2FF2" w:rsidRDefault="00057437" w:rsidP="007347FE">
      <w:pPr>
        <w:rPr>
          <w:rFonts w:asciiTheme="minorHAnsi" w:hAnsiTheme="minorHAnsi" w:cstheme="minorHAnsi"/>
          <w:lang w:val="en-AU"/>
        </w:rPr>
      </w:pPr>
      <w:r w:rsidRPr="00057437">
        <w:rPr>
          <w:rFonts w:asciiTheme="minorHAnsi" w:hAnsiTheme="minorHAnsi" w:cstheme="minorHAnsi"/>
          <w:b/>
          <w:bCs/>
          <w:lang w:val="en-AU"/>
        </w:rPr>
        <w:t>Defining Disability</w:t>
      </w:r>
      <w:r>
        <w:rPr>
          <w:rFonts w:asciiTheme="minorHAnsi" w:hAnsiTheme="minorHAnsi" w:cstheme="minorHAnsi"/>
          <w:lang w:val="en-AU"/>
        </w:rPr>
        <w:br/>
      </w:r>
      <w:r w:rsidR="00164A4A" w:rsidRPr="007347FE">
        <w:rPr>
          <w:rFonts w:asciiTheme="minorHAnsi" w:hAnsiTheme="minorHAnsi" w:cstheme="minorHAnsi"/>
          <w:lang w:val="en-AU"/>
        </w:rPr>
        <w:t>Under the United Nations’</w:t>
      </w:r>
      <w:r w:rsidR="00851480" w:rsidRPr="007347FE">
        <w:rPr>
          <w:rFonts w:asciiTheme="minorHAnsi" w:hAnsiTheme="minorHAnsi" w:cstheme="minorHAnsi"/>
          <w:lang w:val="en-AU"/>
        </w:rPr>
        <w:t xml:space="preserve"> </w:t>
      </w:r>
      <w:r w:rsidR="00851480" w:rsidRPr="007347FE">
        <w:rPr>
          <w:rFonts w:asciiTheme="minorHAnsi" w:hAnsiTheme="minorHAnsi" w:cstheme="minorHAnsi"/>
          <w:i/>
          <w:iCs/>
          <w:lang w:val="en-AU"/>
        </w:rPr>
        <w:t>Convention on the Rights of Persons with Disabilities</w:t>
      </w:r>
      <w:r w:rsidR="00851480" w:rsidRPr="007347FE">
        <w:rPr>
          <w:rFonts w:asciiTheme="minorHAnsi" w:hAnsiTheme="minorHAnsi" w:cstheme="minorHAnsi"/>
          <w:lang w:val="en-AU"/>
        </w:rPr>
        <w:t xml:space="preserve"> (CRPD), </w:t>
      </w:r>
      <w:r w:rsidR="00C7628C" w:rsidRPr="007347FE">
        <w:rPr>
          <w:rFonts w:asciiTheme="minorHAnsi" w:hAnsiTheme="minorHAnsi" w:cstheme="minorHAnsi"/>
          <w:lang w:val="en-AU"/>
        </w:rPr>
        <w:t xml:space="preserve">Article 1, </w:t>
      </w:r>
      <w:r w:rsidR="001F2A77" w:rsidRPr="007347FE">
        <w:rPr>
          <w:rFonts w:asciiTheme="minorHAnsi" w:hAnsiTheme="minorHAnsi" w:cstheme="minorHAnsi"/>
          <w:lang w:val="en-AU"/>
        </w:rPr>
        <w:t>person</w:t>
      </w:r>
      <w:r w:rsidR="00DF4D82" w:rsidRPr="007347FE">
        <w:rPr>
          <w:rFonts w:asciiTheme="minorHAnsi" w:hAnsiTheme="minorHAnsi" w:cstheme="minorHAnsi"/>
          <w:lang w:val="en-AU"/>
        </w:rPr>
        <w:t>s</w:t>
      </w:r>
      <w:r w:rsidR="001F2A77" w:rsidRPr="007347FE">
        <w:rPr>
          <w:rFonts w:asciiTheme="minorHAnsi" w:hAnsiTheme="minorHAnsi" w:cstheme="minorHAnsi"/>
          <w:lang w:val="en-AU"/>
        </w:rPr>
        <w:t xml:space="preserve"> with disability </w:t>
      </w:r>
      <w:r w:rsidR="00DF4D82" w:rsidRPr="007347FE">
        <w:rPr>
          <w:rFonts w:asciiTheme="minorHAnsi" w:hAnsiTheme="minorHAnsi" w:cstheme="minorHAnsi"/>
          <w:lang w:val="en-AU"/>
        </w:rPr>
        <w:t>are</w:t>
      </w:r>
      <w:r w:rsidR="001F2A77" w:rsidRPr="007347FE">
        <w:rPr>
          <w:rFonts w:asciiTheme="minorHAnsi" w:hAnsiTheme="minorHAnsi" w:cstheme="minorHAnsi"/>
          <w:lang w:val="en-AU"/>
        </w:rPr>
        <w:t xml:space="preserve"> defined as “those who have long-term physical, mental, intellectual or sensory impairments which in interaction with various barriers may hinder their full and effective participation in society on an equal basis with others.”</w:t>
      </w:r>
      <w:r w:rsidR="001F2A77">
        <w:rPr>
          <w:rStyle w:val="FootnoteReference"/>
          <w:rFonts w:asciiTheme="minorHAnsi" w:hAnsiTheme="minorHAnsi" w:cstheme="minorHAnsi"/>
          <w:lang w:val="en-AU"/>
        </w:rPr>
        <w:footnoteReference w:id="3"/>
      </w:r>
    </w:p>
    <w:p w14:paraId="71010145" w14:textId="6C014204" w:rsidR="00F2004E" w:rsidRDefault="00595E1E" w:rsidP="00057437">
      <w:pPr>
        <w:rPr>
          <w:rFonts w:asciiTheme="minorHAnsi" w:hAnsiTheme="minorHAnsi" w:cstheme="minorHAnsi"/>
          <w:i/>
          <w:iCs/>
          <w:lang w:val="en-AU"/>
        </w:rPr>
      </w:pPr>
      <w:r w:rsidRPr="007347FE">
        <w:rPr>
          <w:rFonts w:asciiTheme="minorHAnsi" w:hAnsiTheme="minorHAnsi" w:cstheme="minorHAnsi"/>
          <w:lang w:val="en-AU"/>
        </w:rPr>
        <w:t xml:space="preserve">In the Preamble, </w:t>
      </w:r>
      <w:r w:rsidR="00481092" w:rsidRPr="007347FE">
        <w:rPr>
          <w:rFonts w:asciiTheme="minorHAnsi" w:hAnsiTheme="minorHAnsi" w:cstheme="minorHAnsi"/>
          <w:lang w:val="en-AU"/>
        </w:rPr>
        <w:t xml:space="preserve">the CRPD further states: </w:t>
      </w:r>
    </w:p>
    <w:p w14:paraId="49B19CFE" w14:textId="77777777" w:rsidR="00F2004E" w:rsidRDefault="001D449C" w:rsidP="00F2004E">
      <w:pPr>
        <w:ind w:left="720"/>
        <w:rPr>
          <w:rFonts w:asciiTheme="minorHAnsi" w:hAnsiTheme="minorHAnsi" w:cstheme="minorHAnsi"/>
          <w:i/>
          <w:iCs/>
          <w:lang w:val="en-AU"/>
        </w:rPr>
      </w:pPr>
      <w:r w:rsidRPr="007347FE">
        <w:rPr>
          <w:rFonts w:asciiTheme="minorHAnsi" w:hAnsiTheme="minorHAnsi" w:cstheme="minorHAnsi"/>
          <w:i/>
          <w:iCs/>
          <w:lang w:val="en-AU"/>
        </w:rPr>
        <w:t xml:space="preserve">(e) Recognizing that disability is an evolving concept and that disability results from the interaction between persons with impairments and attitudinal and environmental barriers that hinders their full and effective participation in society on an equal basis with others; </w:t>
      </w:r>
      <w:r w:rsidRPr="007347FE">
        <w:rPr>
          <w:rFonts w:asciiTheme="minorHAnsi" w:hAnsiTheme="minorHAnsi" w:cstheme="minorHAnsi"/>
          <w:lang w:val="en-AU"/>
        </w:rPr>
        <w:t>and</w:t>
      </w:r>
      <w:r w:rsidRPr="007347FE">
        <w:rPr>
          <w:rFonts w:asciiTheme="minorHAnsi" w:hAnsiTheme="minorHAnsi" w:cstheme="minorHAnsi"/>
          <w:i/>
          <w:iCs/>
          <w:lang w:val="en-AU"/>
        </w:rPr>
        <w:br/>
      </w:r>
      <w:r w:rsidRPr="007347FE">
        <w:rPr>
          <w:rFonts w:asciiTheme="minorHAnsi" w:hAnsiTheme="minorHAnsi" w:cstheme="minorHAnsi"/>
          <w:i/>
          <w:iCs/>
          <w:lang w:val="en-AU"/>
        </w:rPr>
        <w:br/>
      </w:r>
      <w:r w:rsidR="00583511" w:rsidRPr="007347FE">
        <w:rPr>
          <w:rFonts w:asciiTheme="minorHAnsi" w:hAnsiTheme="minorHAnsi" w:cstheme="minorHAnsi"/>
          <w:i/>
          <w:iCs/>
          <w:lang w:val="en-AU"/>
        </w:rPr>
        <w:t xml:space="preserve">(h) Recognizing also that discrimination against any person </w:t>
      </w:r>
      <w:proofErr w:type="gramStart"/>
      <w:r w:rsidR="00583511" w:rsidRPr="007347FE">
        <w:rPr>
          <w:rFonts w:asciiTheme="minorHAnsi" w:hAnsiTheme="minorHAnsi" w:cstheme="minorHAnsi"/>
          <w:i/>
          <w:iCs/>
          <w:lang w:val="en-AU"/>
        </w:rPr>
        <w:t>on the basis of</w:t>
      </w:r>
      <w:proofErr w:type="gramEnd"/>
      <w:r w:rsidR="00583511" w:rsidRPr="007347FE">
        <w:rPr>
          <w:rFonts w:asciiTheme="minorHAnsi" w:hAnsiTheme="minorHAnsi" w:cstheme="minorHAnsi"/>
          <w:i/>
          <w:iCs/>
          <w:lang w:val="en-AU"/>
        </w:rPr>
        <w:t xml:space="preserve"> disability is a violation of the inherent dignity and worth of the human person</w:t>
      </w:r>
      <w:r w:rsidR="0076424C" w:rsidRPr="007347FE">
        <w:rPr>
          <w:rFonts w:asciiTheme="minorHAnsi" w:hAnsiTheme="minorHAnsi" w:cstheme="minorHAnsi"/>
          <w:i/>
          <w:iCs/>
          <w:lang w:val="en-AU"/>
        </w:rPr>
        <w:t>.</w:t>
      </w:r>
      <w:r w:rsidR="00583511" w:rsidRPr="00E51405">
        <w:rPr>
          <w:rStyle w:val="FootnoteReference"/>
          <w:rFonts w:asciiTheme="minorHAnsi" w:hAnsiTheme="minorHAnsi" w:cstheme="minorHAnsi"/>
          <w:i/>
          <w:iCs/>
          <w:lang w:val="en-AU"/>
        </w:rPr>
        <w:footnoteReference w:id="4"/>
      </w:r>
    </w:p>
    <w:p w14:paraId="23DC4BF2" w14:textId="39FE96F3" w:rsidR="00155438" w:rsidRPr="00057437" w:rsidRDefault="00B01210" w:rsidP="00F2004E">
      <w:pPr>
        <w:rPr>
          <w:rFonts w:asciiTheme="minorHAnsi" w:hAnsiTheme="minorHAnsi" w:cstheme="minorHAnsi"/>
          <w:lang w:val="en-AU"/>
        </w:rPr>
      </w:pPr>
      <w:r w:rsidRPr="00057437">
        <w:rPr>
          <w:rFonts w:asciiTheme="minorHAnsi" w:eastAsia="Times New Roman" w:hAnsiTheme="minorHAnsi" w:cstheme="minorHAnsi"/>
          <w:kern w:val="0"/>
          <w:lang w:val="en-AU" w:eastAsia="en-AU"/>
        </w:rPr>
        <w:t>The Australian Bureau of Statistics’ (ABS) 2018 Survey of Disability, Ageing and Carers (SDAC)</w:t>
      </w:r>
      <w:r w:rsidR="007D37DD" w:rsidRPr="00057437">
        <w:rPr>
          <w:rFonts w:asciiTheme="minorHAnsi" w:eastAsia="Times New Roman" w:hAnsiTheme="minorHAnsi" w:cstheme="minorHAnsi"/>
          <w:kern w:val="0"/>
          <w:lang w:val="en-AU" w:eastAsia="en-AU"/>
        </w:rPr>
        <w:t xml:space="preserve"> considers a person to have a disability if they </w:t>
      </w:r>
      <w:r w:rsidR="00385E5A" w:rsidRPr="00057437">
        <w:rPr>
          <w:rFonts w:asciiTheme="minorHAnsi" w:eastAsia="Times New Roman" w:hAnsiTheme="minorHAnsi" w:cstheme="minorHAnsi"/>
          <w:kern w:val="0"/>
          <w:lang w:val="en-AU" w:eastAsia="en-AU"/>
        </w:rPr>
        <w:t xml:space="preserve">have “at least one of a </w:t>
      </w:r>
      <w:proofErr w:type="gramStart"/>
      <w:r w:rsidR="00385E5A" w:rsidRPr="00057437">
        <w:rPr>
          <w:rFonts w:asciiTheme="minorHAnsi" w:eastAsia="Times New Roman" w:hAnsiTheme="minorHAnsi" w:cstheme="minorHAnsi"/>
          <w:kern w:val="0"/>
          <w:lang w:val="en-AU" w:eastAsia="en-AU"/>
        </w:rPr>
        <w:t>list</w:t>
      </w:r>
      <w:proofErr w:type="gramEnd"/>
      <w:r w:rsidR="00385E5A" w:rsidRPr="00057437">
        <w:rPr>
          <w:rFonts w:asciiTheme="minorHAnsi" w:eastAsia="Times New Roman" w:hAnsiTheme="minorHAnsi" w:cstheme="minorHAnsi"/>
          <w:kern w:val="0"/>
          <w:lang w:val="en-AU" w:eastAsia="en-AU"/>
        </w:rPr>
        <w:t xml:space="preserve"> of limitations, restrictions or impairments, which has lasted, or is likely to last, for at least 6 months and restricts everyday activities.</w:t>
      </w:r>
      <w:r w:rsidR="00830133" w:rsidRPr="00057437">
        <w:rPr>
          <w:rFonts w:asciiTheme="minorHAnsi" w:eastAsia="Times New Roman" w:hAnsiTheme="minorHAnsi" w:cstheme="minorHAnsi"/>
          <w:kern w:val="0"/>
          <w:lang w:val="en-AU" w:eastAsia="en-AU"/>
        </w:rPr>
        <w:t xml:space="preserve"> The limitations are grouped into 10 activities associated with daily living – self-care, mobility, communication, cognitive or emotional tasks, health care, reading or writing tasks, transport, household chores, property maintenance, and meal preparation</w:t>
      </w:r>
      <w:r w:rsidR="00993632" w:rsidRPr="00057437">
        <w:rPr>
          <w:rFonts w:asciiTheme="minorHAnsi" w:eastAsia="Times New Roman" w:hAnsiTheme="minorHAnsi" w:cstheme="minorHAnsi"/>
          <w:kern w:val="0"/>
          <w:lang w:val="en-AU" w:eastAsia="en-AU"/>
        </w:rPr>
        <w:t>”, in addition to schooling and employment.</w:t>
      </w:r>
      <w:r w:rsidR="00993632">
        <w:rPr>
          <w:rStyle w:val="FootnoteReference"/>
          <w:rFonts w:asciiTheme="minorHAnsi" w:eastAsia="Times New Roman" w:hAnsiTheme="minorHAnsi" w:cstheme="minorHAnsi"/>
          <w:kern w:val="0"/>
          <w:lang w:val="en-AU" w:eastAsia="en-AU"/>
        </w:rPr>
        <w:footnoteReference w:id="5"/>
      </w:r>
      <w:r w:rsidR="001A4C40" w:rsidRPr="00057437">
        <w:rPr>
          <w:rFonts w:asciiTheme="minorHAnsi" w:eastAsia="Times New Roman" w:hAnsiTheme="minorHAnsi" w:cstheme="minorHAnsi"/>
          <w:kern w:val="0"/>
          <w:lang w:val="en-AU" w:eastAsia="en-AU"/>
        </w:rPr>
        <w:br/>
      </w:r>
      <w:r w:rsidR="00057437">
        <w:rPr>
          <w:rFonts w:asciiTheme="minorHAnsi" w:hAnsiTheme="minorHAnsi" w:cstheme="minorHAnsi"/>
          <w:lang w:val="en-AU"/>
        </w:rPr>
        <w:br/>
      </w:r>
      <w:r w:rsidR="00057437" w:rsidRPr="00673A0B">
        <w:rPr>
          <w:rFonts w:asciiTheme="minorHAnsi" w:hAnsiTheme="minorHAnsi" w:cstheme="minorHAnsi"/>
          <w:b/>
          <w:bCs/>
          <w:lang w:val="en-AU"/>
        </w:rPr>
        <w:t>Defi</w:t>
      </w:r>
      <w:r w:rsidR="00673A0B" w:rsidRPr="00673A0B">
        <w:rPr>
          <w:rFonts w:asciiTheme="minorHAnsi" w:hAnsiTheme="minorHAnsi" w:cstheme="minorHAnsi"/>
          <w:b/>
          <w:bCs/>
          <w:lang w:val="en-AU"/>
        </w:rPr>
        <w:t xml:space="preserve">ning Long </w:t>
      </w:r>
      <w:r w:rsidR="00F9793D">
        <w:rPr>
          <w:rFonts w:asciiTheme="minorHAnsi" w:hAnsiTheme="minorHAnsi" w:cstheme="minorHAnsi"/>
          <w:b/>
          <w:bCs/>
          <w:lang w:val="en-AU"/>
        </w:rPr>
        <w:t>COVID</w:t>
      </w:r>
      <w:r w:rsidR="00057437">
        <w:rPr>
          <w:rFonts w:asciiTheme="minorHAnsi" w:hAnsiTheme="minorHAnsi" w:cstheme="minorHAnsi"/>
          <w:lang w:val="en-AU"/>
        </w:rPr>
        <w:br/>
      </w:r>
      <w:r w:rsidR="0061265F" w:rsidRPr="00057437">
        <w:rPr>
          <w:rFonts w:asciiTheme="minorHAnsi" w:eastAsia="Times New Roman" w:hAnsiTheme="minorHAnsi" w:cstheme="minorHAnsi"/>
          <w:kern w:val="0"/>
          <w:lang w:val="en-AU" w:eastAsia="en-AU"/>
        </w:rPr>
        <w:t xml:space="preserve">Multiple definitions have been proposed and are </w:t>
      </w:r>
      <w:r w:rsidR="00E31706">
        <w:rPr>
          <w:rFonts w:asciiTheme="minorHAnsi" w:eastAsia="Times New Roman" w:hAnsiTheme="minorHAnsi" w:cstheme="minorHAnsi"/>
          <w:kern w:val="0"/>
          <w:lang w:val="en-AU" w:eastAsia="en-AU"/>
        </w:rPr>
        <w:t xml:space="preserve">currently </w:t>
      </w:r>
      <w:r w:rsidR="0061265F" w:rsidRPr="00057437">
        <w:rPr>
          <w:rFonts w:asciiTheme="minorHAnsi" w:eastAsia="Times New Roman" w:hAnsiTheme="minorHAnsi" w:cstheme="minorHAnsi"/>
          <w:kern w:val="0"/>
          <w:lang w:val="en-AU" w:eastAsia="en-AU"/>
        </w:rPr>
        <w:t xml:space="preserve">used to define Long </w:t>
      </w:r>
      <w:r w:rsidR="00F9793D">
        <w:rPr>
          <w:rFonts w:asciiTheme="minorHAnsi" w:eastAsia="Times New Roman" w:hAnsiTheme="minorHAnsi" w:cstheme="minorHAnsi"/>
          <w:kern w:val="0"/>
          <w:lang w:val="en-AU" w:eastAsia="en-AU"/>
        </w:rPr>
        <w:t>COVID</w:t>
      </w:r>
      <w:r w:rsidR="0061265F" w:rsidRPr="00057437">
        <w:rPr>
          <w:rFonts w:asciiTheme="minorHAnsi" w:eastAsia="Times New Roman" w:hAnsiTheme="minorHAnsi" w:cstheme="minorHAnsi"/>
          <w:kern w:val="0"/>
          <w:lang w:val="en-AU" w:eastAsia="en-AU"/>
        </w:rPr>
        <w:t xml:space="preserve">, </w:t>
      </w:r>
      <w:r w:rsidR="00D81FCC">
        <w:rPr>
          <w:rFonts w:asciiTheme="minorHAnsi" w:eastAsia="Times New Roman" w:hAnsiTheme="minorHAnsi" w:cstheme="minorHAnsi"/>
          <w:kern w:val="0"/>
          <w:lang w:val="en-AU" w:eastAsia="en-AU"/>
        </w:rPr>
        <w:t>also referred to as</w:t>
      </w:r>
      <w:r w:rsidR="0061265F" w:rsidRPr="00057437">
        <w:rPr>
          <w:rFonts w:asciiTheme="minorHAnsi" w:eastAsia="Times New Roman" w:hAnsiTheme="minorHAnsi" w:cstheme="minorHAnsi"/>
          <w:kern w:val="0"/>
          <w:lang w:val="en-AU" w:eastAsia="en-AU"/>
        </w:rPr>
        <w:t xml:space="preserve"> Post</w:t>
      </w:r>
      <w:r w:rsidR="0030618A" w:rsidRPr="00057437">
        <w:rPr>
          <w:rFonts w:asciiTheme="minorHAnsi" w:eastAsia="Times New Roman" w:hAnsiTheme="minorHAnsi" w:cstheme="minorHAnsi"/>
          <w:kern w:val="0"/>
          <w:lang w:val="en-AU" w:eastAsia="en-AU"/>
        </w:rPr>
        <w:t xml:space="preserve"> </w:t>
      </w:r>
      <w:r w:rsidR="00F9793D">
        <w:rPr>
          <w:rFonts w:asciiTheme="minorHAnsi" w:eastAsia="Times New Roman" w:hAnsiTheme="minorHAnsi" w:cstheme="minorHAnsi"/>
          <w:kern w:val="0"/>
          <w:lang w:val="en-AU" w:eastAsia="en-AU"/>
        </w:rPr>
        <w:t>COVID</w:t>
      </w:r>
      <w:r w:rsidR="0061265F" w:rsidRPr="00057437">
        <w:rPr>
          <w:rFonts w:asciiTheme="minorHAnsi" w:eastAsia="Times New Roman" w:hAnsiTheme="minorHAnsi" w:cstheme="minorHAnsi"/>
          <w:kern w:val="0"/>
          <w:lang w:val="en-AU" w:eastAsia="en-AU"/>
        </w:rPr>
        <w:t>-19 condition</w:t>
      </w:r>
      <w:r w:rsidR="00D81FCC">
        <w:rPr>
          <w:rFonts w:asciiTheme="minorHAnsi" w:eastAsia="Times New Roman" w:hAnsiTheme="minorHAnsi" w:cstheme="minorHAnsi"/>
          <w:kern w:val="0"/>
          <w:lang w:val="en-AU" w:eastAsia="en-AU"/>
        </w:rPr>
        <w:t xml:space="preserve"> or </w:t>
      </w:r>
      <w:r w:rsidR="00D81FCC" w:rsidRPr="00D81FCC">
        <w:rPr>
          <w:rFonts w:asciiTheme="minorHAnsi" w:eastAsia="Times New Roman" w:hAnsiTheme="minorHAnsi" w:cstheme="minorHAnsi"/>
          <w:kern w:val="0"/>
          <w:lang w:val="en-AU" w:eastAsia="en-AU"/>
        </w:rPr>
        <w:t xml:space="preserve">Post-Acute </w:t>
      </w:r>
      <w:r w:rsidR="00F9793D">
        <w:rPr>
          <w:rFonts w:asciiTheme="minorHAnsi" w:eastAsia="Times New Roman" w:hAnsiTheme="minorHAnsi" w:cstheme="minorHAnsi"/>
          <w:kern w:val="0"/>
          <w:lang w:val="en-AU" w:eastAsia="en-AU"/>
        </w:rPr>
        <w:t>COVID</w:t>
      </w:r>
      <w:r w:rsidR="00D81FCC" w:rsidRPr="00D81FCC">
        <w:rPr>
          <w:rFonts w:asciiTheme="minorHAnsi" w:eastAsia="Times New Roman" w:hAnsiTheme="minorHAnsi" w:cstheme="minorHAnsi"/>
          <w:kern w:val="0"/>
          <w:lang w:val="en-AU" w:eastAsia="en-AU"/>
        </w:rPr>
        <w:t>-19 Syndrome (PACS)</w:t>
      </w:r>
      <w:r w:rsidR="0061265F" w:rsidRPr="00057437">
        <w:rPr>
          <w:rFonts w:asciiTheme="minorHAnsi" w:eastAsia="Times New Roman" w:hAnsiTheme="minorHAnsi" w:cstheme="minorHAnsi"/>
          <w:kern w:val="0"/>
          <w:lang w:val="en-AU" w:eastAsia="en-AU"/>
        </w:rPr>
        <w:t xml:space="preserve">. </w:t>
      </w:r>
      <w:r w:rsidR="00155438" w:rsidRPr="00057437">
        <w:rPr>
          <w:rFonts w:asciiTheme="minorHAnsi" w:hAnsiTheme="minorHAnsi" w:cstheme="minorHAnsi"/>
          <w:lang w:val="en-AU"/>
        </w:rPr>
        <w:t xml:space="preserve">The World Health Organisation (WHO) defines Long </w:t>
      </w:r>
      <w:r w:rsidR="00F9793D">
        <w:rPr>
          <w:rFonts w:asciiTheme="minorHAnsi" w:hAnsiTheme="minorHAnsi" w:cstheme="minorHAnsi"/>
          <w:lang w:val="en-AU"/>
        </w:rPr>
        <w:t>COVID</w:t>
      </w:r>
      <w:r w:rsidR="00155438" w:rsidRPr="00057437">
        <w:rPr>
          <w:rFonts w:asciiTheme="minorHAnsi" w:hAnsiTheme="minorHAnsi" w:cstheme="minorHAnsi"/>
          <w:lang w:val="en-AU"/>
        </w:rPr>
        <w:t xml:space="preserve"> as:</w:t>
      </w:r>
    </w:p>
    <w:p w14:paraId="7B46256E" w14:textId="6B60ADD0" w:rsidR="00A031C7" w:rsidRDefault="00155438" w:rsidP="00A031C7">
      <w:pPr>
        <w:ind w:left="720"/>
        <w:rPr>
          <w:rFonts w:asciiTheme="minorHAnsi" w:hAnsiTheme="minorHAnsi" w:cstheme="minorHAnsi"/>
          <w:lang w:val="en-AU"/>
        </w:rPr>
      </w:pPr>
      <w:r w:rsidRPr="002961A1">
        <w:rPr>
          <w:rFonts w:asciiTheme="minorHAnsi" w:hAnsiTheme="minorHAnsi" w:cstheme="minorHAnsi"/>
          <w:i/>
          <w:iCs/>
          <w:lang w:val="en-AU"/>
        </w:rPr>
        <w:t xml:space="preserve">… occur[ring] in individuals with a history of probable or confirmed SARS CoV-2 infection, usually 3 months from the onset of </w:t>
      </w:r>
      <w:r w:rsidR="00F9793D">
        <w:rPr>
          <w:rFonts w:asciiTheme="minorHAnsi" w:hAnsiTheme="minorHAnsi" w:cstheme="minorHAnsi"/>
          <w:i/>
          <w:iCs/>
          <w:lang w:val="en-AU"/>
        </w:rPr>
        <w:t>COVID</w:t>
      </w:r>
      <w:r w:rsidRPr="002961A1">
        <w:rPr>
          <w:rFonts w:asciiTheme="minorHAnsi" w:hAnsiTheme="minorHAnsi" w:cstheme="minorHAnsi"/>
          <w:i/>
          <w:iCs/>
          <w:lang w:val="en-AU"/>
        </w:rPr>
        <w:t xml:space="preserve">-19 with symptoms and that last for at least 2 months and cannot be explained by an alternative diagnosis. Common symptoms include fatigue, shortness of breath, cognitive dysfunction but also others and generally have an impact on everyday functioning. Symptoms may be new onset following initial recovery from an acute </w:t>
      </w:r>
      <w:r w:rsidR="00F9793D">
        <w:rPr>
          <w:rFonts w:asciiTheme="minorHAnsi" w:hAnsiTheme="minorHAnsi" w:cstheme="minorHAnsi"/>
          <w:i/>
          <w:iCs/>
          <w:lang w:val="en-AU"/>
        </w:rPr>
        <w:t>COVID</w:t>
      </w:r>
      <w:r w:rsidRPr="002961A1">
        <w:rPr>
          <w:rFonts w:asciiTheme="minorHAnsi" w:hAnsiTheme="minorHAnsi" w:cstheme="minorHAnsi"/>
          <w:i/>
          <w:iCs/>
          <w:lang w:val="en-AU"/>
        </w:rPr>
        <w:t>-19 episode or persist from the initial illness. Symptoms may also fluctuate or relapse over time.</w:t>
      </w:r>
      <w:r w:rsidR="002961A1" w:rsidRPr="002961A1">
        <w:rPr>
          <w:rStyle w:val="FootnoteReference"/>
          <w:rFonts w:asciiTheme="minorHAnsi" w:hAnsiTheme="minorHAnsi" w:cstheme="minorHAnsi"/>
          <w:i/>
          <w:iCs/>
          <w:lang w:val="en-AU"/>
        </w:rPr>
        <w:footnoteReference w:id="6"/>
      </w:r>
    </w:p>
    <w:p w14:paraId="038E2053" w14:textId="584F2684" w:rsidR="009406DA" w:rsidRDefault="009406DA" w:rsidP="00A031C7">
      <w:pPr>
        <w:rPr>
          <w:rFonts w:asciiTheme="minorHAnsi" w:hAnsiTheme="minorHAnsi" w:cstheme="minorHAnsi"/>
          <w:lang w:val="en-AU"/>
        </w:rPr>
      </w:pPr>
      <w:r w:rsidRPr="00057437">
        <w:rPr>
          <w:rFonts w:asciiTheme="minorHAnsi" w:eastAsia="Times New Roman" w:hAnsiTheme="minorHAnsi" w:cstheme="minorHAnsi"/>
          <w:kern w:val="0"/>
          <w:lang w:val="en-AU" w:eastAsia="en-AU"/>
        </w:rPr>
        <w:lastRenderedPageBreak/>
        <w:t xml:space="preserve">In the USA, Long </w:t>
      </w:r>
      <w:r w:rsidR="00F9793D">
        <w:rPr>
          <w:rFonts w:asciiTheme="minorHAnsi" w:eastAsia="Times New Roman" w:hAnsiTheme="minorHAnsi" w:cstheme="minorHAnsi"/>
          <w:kern w:val="0"/>
          <w:lang w:val="en-AU" w:eastAsia="en-AU"/>
        </w:rPr>
        <w:t>COVID</w:t>
      </w:r>
      <w:r w:rsidRPr="00057437">
        <w:rPr>
          <w:rFonts w:asciiTheme="minorHAnsi" w:eastAsia="Times New Roman" w:hAnsiTheme="minorHAnsi" w:cstheme="minorHAnsi"/>
          <w:kern w:val="0"/>
          <w:lang w:val="en-AU" w:eastAsia="en-AU"/>
        </w:rPr>
        <w:t xml:space="preserve"> is considered to occur when symptoms extend beyond four weeks after the initial infection, whereas in the UK, this </w:t>
      </w:r>
      <w:r>
        <w:rPr>
          <w:rFonts w:asciiTheme="minorHAnsi" w:eastAsia="Times New Roman" w:hAnsiTheme="minorHAnsi" w:cstheme="minorHAnsi"/>
          <w:kern w:val="0"/>
          <w:lang w:val="en-AU" w:eastAsia="en-AU"/>
        </w:rPr>
        <w:t xml:space="preserve">distinction </w:t>
      </w:r>
      <w:r w:rsidR="00CD7B4A">
        <w:rPr>
          <w:rFonts w:asciiTheme="minorHAnsi" w:eastAsia="Times New Roman" w:hAnsiTheme="minorHAnsi" w:cstheme="minorHAnsi"/>
          <w:kern w:val="0"/>
          <w:lang w:val="en-AU" w:eastAsia="en-AU"/>
        </w:rPr>
        <w:t>is made</w:t>
      </w:r>
      <w:r w:rsidRPr="00057437">
        <w:rPr>
          <w:rFonts w:asciiTheme="minorHAnsi" w:eastAsia="Times New Roman" w:hAnsiTheme="minorHAnsi" w:cstheme="minorHAnsi"/>
          <w:kern w:val="0"/>
          <w:lang w:val="en-AU" w:eastAsia="en-AU"/>
        </w:rPr>
        <w:t xml:space="preserve"> at 12 weeks.</w:t>
      </w:r>
      <w:r>
        <w:rPr>
          <w:rFonts w:asciiTheme="minorHAnsi" w:eastAsia="Times New Roman" w:hAnsiTheme="minorHAnsi" w:cstheme="minorHAnsi"/>
          <w:kern w:val="0"/>
          <w:lang w:val="en-AU" w:eastAsia="en-AU"/>
        </w:rPr>
        <w:t xml:space="preserve"> Research studies into Long </w:t>
      </w:r>
      <w:r w:rsidR="00F9793D">
        <w:rPr>
          <w:rFonts w:asciiTheme="minorHAnsi" w:eastAsia="Times New Roman" w:hAnsiTheme="minorHAnsi" w:cstheme="minorHAnsi"/>
          <w:kern w:val="0"/>
          <w:lang w:val="en-AU" w:eastAsia="en-AU"/>
        </w:rPr>
        <w:t>COVID</w:t>
      </w:r>
      <w:r>
        <w:rPr>
          <w:rFonts w:asciiTheme="minorHAnsi" w:eastAsia="Times New Roman" w:hAnsiTheme="minorHAnsi" w:cstheme="minorHAnsi"/>
          <w:kern w:val="0"/>
          <w:lang w:val="en-AU" w:eastAsia="en-AU"/>
        </w:rPr>
        <w:t xml:space="preserve"> frequently employ the </w:t>
      </w:r>
      <w:r w:rsidR="00CD7B4A">
        <w:rPr>
          <w:rFonts w:asciiTheme="minorHAnsi" w:eastAsia="Times New Roman" w:hAnsiTheme="minorHAnsi" w:cstheme="minorHAnsi"/>
          <w:kern w:val="0"/>
          <w:lang w:val="en-AU" w:eastAsia="en-AU"/>
        </w:rPr>
        <w:t>four-week</w:t>
      </w:r>
      <w:r>
        <w:rPr>
          <w:rFonts w:asciiTheme="minorHAnsi" w:eastAsia="Times New Roman" w:hAnsiTheme="minorHAnsi" w:cstheme="minorHAnsi"/>
          <w:kern w:val="0"/>
          <w:lang w:val="en-AU" w:eastAsia="en-AU"/>
        </w:rPr>
        <w:t xml:space="preserve"> definition.</w:t>
      </w:r>
    </w:p>
    <w:p w14:paraId="725BFB3B" w14:textId="6EEA7BB9" w:rsidR="00155438" w:rsidRPr="00057437" w:rsidRDefault="007D331E" w:rsidP="00A031C7">
      <w:pPr>
        <w:rPr>
          <w:rFonts w:asciiTheme="minorHAnsi" w:hAnsiTheme="minorHAnsi" w:cstheme="minorHAnsi"/>
          <w:lang w:val="en-AU"/>
        </w:rPr>
      </w:pPr>
      <w:r w:rsidRPr="00057437">
        <w:rPr>
          <w:rFonts w:asciiTheme="minorHAnsi" w:hAnsiTheme="minorHAnsi" w:cstheme="minorHAnsi"/>
          <w:lang w:val="en-AU"/>
        </w:rPr>
        <w:t xml:space="preserve">Although the WHO’s definition of Long </w:t>
      </w:r>
      <w:r w:rsidR="00F9793D">
        <w:rPr>
          <w:rFonts w:asciiTheme="minorHAnsi" w:hAnsiTheme="minorHAnsi" w:cstheme="minorHAnsi"/>
          <w:lang w:val="en-AU"/>
        </w:rPr>
        <w:t>COVID</w:t>
      </w:r>
      <w:r w:rsidRPr="00057437">
        <w:rPr>
          <w:rFonts w:asciiTheme="minorHAnsi" w:hAnsiTheme="minorHAnsi" w:cstheme="minorHAnsi"/>
          <w:lang w:val="en-AU"/>
        </w:rPr>
        <w:t xml:space="preserve"> would seem to align with the CRPD’s definition of disability, it is not considered so in Australia, meaning affected individuals are unable to access disability supports such as the National Disability Insurance Scheme (NDIS) or Disability Support Pension (DSP).</w:t>
      </w:r>
      <w:r w:rsidRPr="00057437">
        <w:rPr>
          <w:rFonts w:asciiTheme="minorHAnsi" w:hAnsiTheme="minorHAnsi" w:cstheme="minorHAnsi"/>
          <w:lang w:val="en-AU"/>
        </w:rPr>
        <w:br/>
      </w:r>
      <w:r w:rsidR="00057437">
        <w:rPr>
          <w:rFonts w:asciiTheme="minorHAnsi" w:hAnsiTheme="minorHAnsi" w:cstheme="minorHAnsi"/>
          <w:lang w:val="en-AU"/>
        </w:rPr>
        <w:br/>
      </w:r>
      <w:r w:rsidRPr="00057437">
        <w:rPr>
          <w:rFonts w:asciiTheme="minorHAnsi" w:eastAsia="Times New Roman" w:hAnsiTheme="minorHAnsi" w:cstheme="minorHAnsi"/>
          <w:kern w:val="0"/>
          <w:lang w:val="en-AU" w:eastAsia="en-AU"/>
        </w:rPr>
        <w:br/>
      </w:r>
    </w:p>
    <w:p w14:paraId="74F8FCAC" w14:textId="7B27E2D2" w:rsidR="00A35398" w:rsidRPr="00A91A00" w:rsidRDefault="00C661F5" w:rsidP="00481040">
      <w:pPr>
        <w:pStyle w:val="HeadingNew"/>
        <w:rPr>
          <w:lang w:val="en-AU"/>
        </w:rPr>
      </w:pPr>
      <w:r>
        <w:rPr>
          <w:lang w:val="en-AU"/>
        </w:rPr>
        <w:lastRenderedPageBreak/>
        <w:t xml:space="preserve">Prevalence of Long </w:t>
      </w:r>
      <w:r w:rsidR="00F9793D">
        <w:rPr>
          <w:lang w:val="en-AU"/>
        </w:rPr>
        <w:t>COVID</w:t>
      </w:r>
      <w:r>
        <w:rPr>
          <w:lang w:val="en-AU"/>
        </w:rPr>
        <w:t xml:space="preserve"> in Australia</w:t>
      </w:r>
      <w:r w:rsidR="00F57504">
        <w:rPr>
          <w:lang w:val="en-AU"/>
        </w:rPr>
        <w:t xml:space="preserve"> </w:t>
      </w:r>
    </w:p>
    <w:p w14:paraId="2D0F9B06" w14:textId="3D75079A" w:rsidR="00991C40" w:rsidRDefault="0036355E" w:rsidP="00057437">
      <w:pPr>
        <w:pStyle w:val="39n3n"/>
        <w:rPr>
          <w:rFonts w:asciiTheme="minorHAnsi" w:hAnsiTheme="minorHAnsi" w:cstheme="minorHAnsi"/>
          <w:color w:val="000000"/>
        </w:rPr>
      </w:pPr>
      <w:r>
        <w:rPr>
          <w:rFonts w:asciiTheme="minorHAnsi" w:hAnsiTheme="minorHAnsi" w:cstheme="minorHAnsi"/>
          <w:b/>
          <w:bCs/>
          <w:color w:val="000000"/>
        </w:rPr>
        <w:t>Recent</w:t>
      </w:r>
      <w:r w:rsidR="00CD7B4A">
        <w:rPr>
          <w:rFonts w:asciiTheme="minorHAnsi" w:hAnsiTheme="minorHAnsi" w:cstheme="minorHAnsi"/>
          <w:b/>
          <w:bCs/>
          <w:color w:val="000000"/>
        </w:rPr>
        <w:t xml:space="preserve"> statistics</w:t>
      </w:r>
      <w:r w:rsidR="002961A1" w:rsidRPr="002961A1">
        <w:rPr>
          <w:rFonts w:asciiTheme="minorHAnsi" w:hAnsiTheme="minorHAnsi" w:cstheme="minorHAnsi"/>
          <w:b/>
          <w:bCs/>
          <w:color w:val="000000"/>
        </w:rPr>
        <w:br/>
      </w:r>
      <w:r w:rsidR="00665AE5">
        <w:rPr>
          <w:rFonts w:asciiTheme="minorHAnsi" w:hAnsiTheme="minorHAnsi" w:cstheme="minorHAnsi"/>
          <w:color w:val="000000"/>
        </w:rPr>
        <w:t xml:space="preserve">Although Australian research into Long </w:t>
      </w:r>
      <w:r w:rsidR="00F9793D">
        <w:rPr>
          <w:rFonts w:asciiTheme="minorHAnsi" w:hAnsiTheme="minorHAnsi" w:cstheme="minorHAnsi"/>
          <w:color w:val="000000"/>
        </w:rPr>
        <w:t>COVID</w:t>
      </w:r>
      <w:r w:rsidR="00665AE5">
        <w:rPr>
          <w:rFonts w:asciiTheme="minorHAnsi" w:hAnsiTheme="minorHAnsi" w:cstheme="minorHAnsi"/>
          <w:color w:val="000000"/>
        </w:rPr>
        <w:t xml:space="preserve"> is still in its infancy</w:t>
      </w:r>
      <w:r>
        <w:rPr>
          <w:rFonts w:asciiTheme="minorHAnsi" w:hAnsiTheme="minorHAnsi" w:cstheme="minorHAnsi"/>
          <w:color w:val="000000"/>
        </w:rPr>
        <w:t xml:space="preserve"> compared to</w:t>
      </w:r>
      <w:r w:rsidR="00AA3BF0">
        <w:rPr>
          <w:rFonts w:asciiTheme="minorHAnsi" w:hAnsiTheme="minorHAnsi" w:cstheme="minorHAnsi"/>
          <w:color w:val="000000"/>
        </w:rPr>
        <w:t xml:space="preserve"> what has been undertaken internationally</w:t>
      </w:r>
      <w:r w:rsidR="00BC5A04">
        <w:rPr>
          <w:rFonts w:asciiTheme="minorHAnsi" w:hAnsiTheme="minorHAnsi" w:cstheme="minorHAnsi"/>
          <w:color w:val="000000"/>
        </w:rPr>
        <w:t>, th</w:t>
      </w:r>
      <w:r w:rsidR="0074407E">
        <w:rPr>
          <w:rFonts w:asciiTheme="minorHAnsi" w:hAnsiTheme="minorHAnsi" w:cstheme="minorHAnsi"/>
          <w:color w:val="000000"/>
        </w:rPr>
        <w:t>e</w:t>
      </w:r>
      <w:r w:rsidR="00BC5A04">
        <w:rPr>
          <w:rFonts w:asciiTheme="minorHAnsi" w:hAnsiTheme="minorHAnsi" w:cstheme="minorHAnsi"/>
          <w:color w:val="000000"/>
        </w:rPr>
        <w:t xml:space="preserve"> </w:t>
      </w:r>
      <w:r w:rsidR="00AA3BF0">
        <w:rPr>
          <w:rFonts w:asciiTheme="minorHAnsi" w:hAnsiTheme="minorHAnsi" w:cstheme="minorHAnsi"/>
          <w:color w:val="000000"/>
        </w:rPr>
        <w:t>evidence</w:t>
      </w:r>
      <w:r w:rsidR="00BC5A04">
        <w:rPr>
          <w:rFonts w:asciiTheme="minorHAnsi" w:hAnsiTheme="minorHAnsi" w:cstheme="minorHAnsi"/>
          <w:color w:val="000000"/>
        </w:rPr>
        <w:t xml:space="preserve"> that </w:t>
      </w:r>
      <w:r w:rsidR="00AA3BF0">
        <w:rPr>
          <w:rFonts w:asciiTheme="minorHAnsi" w:hAnsiTheme="minorHAnsi" w:cstheme="minorHAnsi"/>
          <w:color w:val="000000"/>
        </w:rPr>
        <w:t>has</w:t>
      </w:r>
      <w:r w:rsidR="00BC5A04">
        <w:rPr>
          <w:rFonts w:asciiTheme="minorHAnsi" w:hAnsiTheme="minorHAnsi" w:cstheme="minorHAnsi"/>
          <w:color w:val="000000"/>
        </w:rPr>
        <w:t xml:space="preserve"> emerged so far</w:t>
      </w:r>
      <w:r w:rsidR="00AA3BF0">
        <w:rPr>
          <w:rFonts w:asciiTheme="minorHAnsi" w:hAnsiTheme="minorHAnsi" w:cstheme="minorHAnsi"/>
          <w:color w:val="000000"/>
        </w:rPr>
        <w:t xml:space="preserve"> is </w:t>
      </w:r>
      <w:r w:rsidR="004800DC">
        <w:rPr>
          <w:rFonts w:asciiTheme="minorHAnsi" w:hAnsiTheme="minorHAnsi" w:cstheme="minorHAnsi"/>
          <w:color w:val="000000"/>
        </w:rPr>
        <w:t xml:space="preserve">extremely troubling. A study conducted by </w:t>
      </w:r>
      <w:r w:rsidR="00AA3BF0">
        <w:rPr>
          <w:rFonts w:asciiTheme="minorHAnsi" w:hAnsiTheme="minorHAnsi" w:cstheme="minorHAnsi"/>
          <w:color w:val="000000"/>
        </w:rPr>
        <w:t>Australian National University (</w:t>
      </w:r>
      <w:r w:rsidR="004800DC">
        <w:rPr>
          <w:rFonts w:asciiTheme="minorHAnsi" w:hAnsiTheme="minorHAnsi" w:cstheme="minorHAnsi"/>
          <w:color w:val="000000"/>
        </w:rPr>
        <w:t>ANU</w:t>
      </w:r>
      <w:r w:rsidR="00AA3BF0">
        <w:rPr>
          <w:rFonts w:asciiTheme="minorHAnsi" w:hAnsiTheme="minorHAnsi" w:cstheme="minorHAnsi"/>
          <w:color w:val="000000"/>
        </w:rPr>
        <w:t>)</w:t>
      </w:r>
      <w:r w:rsidR="004800DC">
        <w:rPr>
          <w:rFonts w:asciiTheme="minorHAnsi" w:hAnsiTheme="minorHAnsi" w:cstheme="minorHAnsi"/>
          <w:color w:val="000000"/>
        </w:rPr>
        <w:t xml:space="preserve"> and published </w:t>
      </w:r>
      <w:r w:rsidR="00C21713">
        <w:rPr>
          <w:rFonts w:asciiTheme="minorHAnsi" w:hAnsiTheme="minorHAnsi" w:cstheme="minorHAnsi"/>
          <w:color w:val="000000"/>
        </w:rPr>
        <w:t xml:space="preserve">earlier this month indicated that </w:t>
      </w:r>
      <w:r w:rsidR="00960444">
        <w:rPr>
          <w:rFonts w:asciiTheme="minorHAnsi" w:hAnsiTheme="minorHAnsi" w:cstheme="minorHAnsi"/>
          <w:color w:val="000000"/>
        </w:rPr>
        <w:t>approximately one in three adults who had contracted the virus had symptoms that lasted for longer than</w:t>
      </w:r>
      <w:r w:rsidR="00D53FAE">
        <w:rPr>
          <w:rFonts w:asciiTheme="minorHAnsi" w:hAnsiTheme="minorHAnsi" w:cstheme="minorHAnsi"/>
          <w:color w:val="000000"/>
        </w:rPr>
        <w:t xml:space="preserve"> four weeks</w:t>
      </w:r>
      <w:r w:rsidR="0091512E">
        <w:rPr>
          <w:rFonts w:asciiTheme="minorHAnsi" w:hAnsiTheme="minorHAnsi" w:cstheme="minorHAnsi"/>
          <w:color w:val="000000"/>
        </w:rPr>
        <w:t xml:space="preserve">, a common indicator of Long </w:t>
      </w:r>
      <w:r w:rsidR="00F9793D">
        <w:rPr>
          <w:rFonts w:asciiTheme="minorHAnsi" w:hAnsiTheme="minorHAnsi" w:cstheme="minorHAnsi"/>
          <w:color w:val="000000"/>
        </w:rPr>
        <w:t>COVID</w:t>
      </w:r>
      <w:r w:rsidR="00D53FAE">
        <w:rPr>
          <w:rFonts w:asciiTheme="minorHAnsi" w:hAnsiTheme="minorHAnsi" w:cstheme="minorHAnsi"/>
          <w:color w:val="000000"/>
        </w:rPr>
        <w:t>.</w:t>
      </w:r>
      <w:r w:rsidR="00D53FAE">
        <w:rPr>
          <w:rStyle w:val="FootnoteReference"/>
          <w:rFonts w:asciiTheme="minorHAnsi" w:hAnsiTheme="minorHAnsi" w:cstheme="minorHAnsi"/>
          <w:color w:val="000000"/>
        </w:rPr>
        <w:footnoteReference w:id="7"/>
      </w:r>
      <w:r w:rsidR="00F91070">
        <w:rPr>
          <w:rFonts w:asciiTheme="minorHAnsi" w:hAnsiTheme="minorHAnsi" w:cstheme="minorHAnsi"/>
          <w:color w:val="000000"/>
        </w:rPr>
        <w:t xml:space="preserve"> </w:t>
      </w:r>
      <w:r w:rsidR="0091512E">
        <w:rPr>
          <w:rFonts w:asciiTheme="minorHAnsi" w:hAnsiTheme="minorHAnsi" w:cstheme="minorHAnsi"/>
          <w:color w:val="000000"/>
        </w:rPr>
        <w:t>This equates to slightly over 14% of the adult population of Australia.</w:t>
      </w:r>
      <w:r w:rsidR="0091512E">
        <w:rPr>
          <w:rStyle w:val="FootnoteReference"/>
          <w:rFonts w:asciiTheme="minorHAnsi" w:hAnsiTheme="minorHAnsi" w:cstheme="minorHAnsi"/>
          <w:color w:val="000000"/>
        </w:rPr>
        <w:footnoteReference w:id="8"/>
      </w:r>
      <w:r w:rsidR="00A86F14">
        <w:rPr>
          <w:rFonts w:asciiTheme="minorHAnsi" w:hAnsiTheme="minorHAnsi" w:cstheme="minorHAnsi"/>
          <w:color w:val="000000"/>
        </w:rPr>
        <w:t xml:space="preserve"> Furthermore, </w:t>
      </w:r>
      <w:r w:rsidR="00A86F14" w:rsidRPr="00A86F14">
        <w:rPr>
          <w:rFonts w:asciiTheme="minorHAnsi" w:hAnsiTheme="minorHAnsi" w:cstheme="minorHAnsi"/>
          <w:color w:val="000000"/>
        </w:rPr>
        <w:t xml:space="preserve">nearly </w:t>
      </w:r>
      <w:r w:rsidR="00A86F14">
        <w:rPr>
          <w:rFonts w:asciiTheme="minorHAnsi" w:hAnsiTheme="minorHAnsi" w:cstheme="minorHAnsi"/>
          <w:color w:val="000000"/>
        </w:rPr>
        <w:t>5%</w:t>
      </w:r>
      <w:r w:rsidR="00A86F14" w:rsidRPr="00A86F14">
        <w:rPr>
          <w:rFonts w:asciiTheme="minorHAnsi" w:hAnsiTheme="minorHAnsi" w:cstheme="minorHAnsi"/>
          <w:color w:val="000000"/>
        </w:rPr>
        <w:t xml:space="preserve"> of Australian adults have had </w:t>
      </w:r>
      <w:r w:rsidR="00F9793D">
        <w:rPr>
          <w:rFonts w:asciiTheme="minorHAnsi" w:hAnsiTheme="minorHAnsi" w:cstheme="minorHAnsi"/>
          <w:color w:val="000000"/>
        </w:rPr>
        <w:t>COVID</w:t>
      </w:r>
      <w:r w:rsidR="00A86F14" w:rsidRPr="00A86F14">
        <w:rPr>
          <w:rFonts w:asciiTheme="minorHAnsi" w:hAnsiTheme="minorHAnsi" w:cstheme="minorHAnsi"/>
          <w:color w:val="000000"/>
        </w:rPr>
        <w:t>-19 symptoms lasting three months or more.</w:t>
      </w:r>
      <w:r w:rsidR="00A86F14">
        <w:rPr>
          <w:rStyle w:val="FootnoteReference"/>
          <w:rFonts w:asciiTheme="minorHAnsi" w:hAnsiTheme="minorHAnsi" w:cstheme="minorHAnsi"/>
          <w:color w:val="000000"/>
        </w:rPr>
        <w:footnoteReference w:id="9"/>
      </w:r>
    </w:p>
    <w:p w14:paraId="6AEA95EB" w14:textId="66428666" w:rsidR="00F653DD" w:rsidRDefault="0065750D" w:rsidP="00057437">
      <w:pPr>
        <w:pStyle w:val="39n3n"/>
        <w:rPr>
          <w:rFonts w:asciiTheme="minorHAnsi" w:hAnsiTheme="minorHAnsi" w:cstheme="minorHAnsi"/>
          <w:color w:val="000000"/>
        </w:rPr>
      </w:pPr>
      <w:r>
        <w:rPr>
          <w:rFonts w:asciiTheme="minorHAnsi" w:hAnsiTheme="minorHAnsi" w:cstheme="minorHAnsi"/>
          <w:color w:val="000000"/>
        </w:rPr>
        <w:t>In another study conducted by The Melbourne Institute</w:t>
      </w:r>
      <w:r w:rsidR="001862C5">
        <w:rPr>
          <w:rFonts w:asciiTheme="minorHAnsi" w:hAnsiTheme="minorHAnsi" w:cstheme="minorHAnsi"/>
          <w:color w:val="000000"/>
        </w:rPr>
        <w:t>, researchers found that</w:t>
      </w:r>
      <w:r w:rsidR="00C43E11">
        <w:rPr>
          <w:rFonts w:asciiTheme="minorHAnsi" w:hAnsiTheme="minorHAnsi" w:cstheme="minorHAnsi"/>
          <w:color w:val="000000"/>
        </w:rPr>
        <w:t xml:space="preserve"> 15.5% of those who had tested positive, equating to 1.2 million Australians, </w:t>
      </w:r>
      <w:r w:rsidR="00F22F55">
        <w:rPr>
          <w:rFonts w:asciiTheme="minorHAnsi" w:hAnsiTheme="minorHAnsi" w:cstheme="minorHAnsi"/>
          <w:color w:val="000000"/>
        </w:rPr>
        <w:t xml:space="preserve">reported symptoms lasting for </w:t>
      </w:r>
      <w:r w:rsidR="0078727F">
        <w:rPr>
          <w:rFonts w:asciiTheme="minorHAnsi" w:hAnsiTheme="minorHAnsi" w:cstheme="minorHAnsi"/>
          <w:color w:val="000000"/>
        </w:rPr>
        <w:t>longer</w:t>
      </w:r>
      <w:r w:rsidR="00F22F55">
        <w:rPr>
          <w:rFonts w:asciiTheme="minorHAnsi" w:hAnsiTheme="minorHAnsi" w:cstheme="minorHAnsi"/>
          <w:color w:val="000000"/>
        </w:rPr>
        <w:t xml:space="preserve"> than one month, with a further 6% reporting symptoms lasting for three months or longer.</w:t>
      </w:r>
      <w:r w:rsidR="00F22F55">
        <w:rPr>
          <w:rStyle w:val="FootnoteReference"/>
          <w:rFonts w:asciiTheme="minorHAnsi" w:hAnsiTheme="minorHAnsi" w:cstheme="minorHAnsi"/>
          <w:color w:val="000000"/>
        </w:rPr>
        <w:footnoteReference w:id="10"/>
      </w:r>
      <w:r w:rsidR="002D60FC">
        <w:rPr>
          <w:rFonts w:asciiTheme="minorHAnsi" w:hAnsiTheme="minorHAnsi" w:cstheme="minorHAnsi"/>
          <w:color w:val="000000"/>
        </w:rPr>
        <w:t xml:space="preserve"> </w:t>
      </w:r>
      <w:r w:rsidR="00AF507F">
        <w:rPr>
          <w:rFonts w:asciiTheme="minorHAnsi" w:hAnsiTheme="minorHAnsi" w:cstheme="minorHAnsi"/>
          <w:color w:val="000000"/>
        </w:rPr>
        <w:t xml:space="preserve">The study also found that Long </w:t>
      </w:r>
      <w:r w:rsidR="00F9793D">
        <w:rPr>
          <w:rFonts w:asciiTheme="minorHAnsi" w:hAnsiTheme="minorHAnsi" w:cstheme="minorHAnsi"/>
          <w:color w:val="000000"/>
        </w:rPr>
        <w:t>COVID</w:t>
      </w:r>
      <w:r w:rsidR="00AF507F">
        <w:rPr>
          <w:rFonts w:asciiTheme="minorHAnsi" w:hAnsiTheme="minorHAnsi" w:cstheme="minorHAnsi"/>
          <w:color w:val="000000"/>
        </w:rPr>
        <w:t xml:space="preserve"> was associated with worse mental health</w:t>
      </w:r>
      <w:r w:rsidR="00243503">
        <w:rPr>
          <w:rFonts w:asciiTheme="minorHAnsi" w:hAnsiTheme="minorHAnsi" w:cstheme="minorHAnsi"/>
          <w:color w:val="000000"/>
        </w:rPr>
        <w:t xml:space="preserve">, and that Long </w:t>
      </w:r>
      <w:r w:rsidR="00F9793D">
        <w:rPr>
          <w:rFonts w:asciiTheme="minorHAnsi" w:hAnsiTheme="minorHAnsi" w:cstheme="minorHAnsi"/>
          <w:color w:val="000000"/>
        </w:rPr>
        <w:t>COVID</w:t>
      </w:r>
      <w:r w:rsidR="00243503">
        <w:rPr>
          <w:rFonts w:asciiTheme="minorHAnsi" w:hAnsiTheme="minorHAnsi" w:cstheme="minorHAnsi"/>
          <w:color w:val="000000"/>
        </w:rPr>
        <w:t xml:space="preserve"> sufferers were more likely to report severe symptoms than those with a shorter illness.</w:t>
      </w:r>
      <w:r w:rsidR="00647720">
        <w:rPr>
          <w:rFonts w:asciiTheme="minorHAnsi" w:hAnsiTheme="minorHAnsi" w:cstheme="minorHAnsi"/>
          <w:color w:val="000000"/>
        </w:rPr>
        <w:t xml:space="preserve"> The </w:t>
      </w:r>
      <w:proofErr w:type="gramStart"/>
      <w:r w:rsidR="00647720">
        <w:rPr>
          <w:rFonts w:asciiTheme="minorHAnsi" w:hAnsiTheme="minorHAnsi" w:cstheme="minorHAnsi"/>
          <w:color w:val="000000"/>
        </w:rPr>
        <w:t>most commonly reported</w:t>
      </w:r>
      <w:proofErr w:type="gramEnd"/>
      <w:r w:rsidR="00647720">
        <w:rPr>
          <w:rFonts w:asciiTheme="minorHAnsi" w:hAnsiTheme="minorHAnsi" w:cstheme="minorHAnsi"/>
          <w:color w:val="000000"/>
        </w:rPr>
        <w:t xml:space="preserve"> symptoms included fatigue, shortness of breath, and “brain fog”.</w:t>
      </w:r>
      <w:r w:rsidR="00647720">
        <w:rPr>
          <w:rStyle w:val="FootnoteReference"/>
          <w:rFonts w:asciiTheme="minorHAnsi" w:hAnsiTheme="minorHAnsi" w:cstheme="minorHAnsi"/>
          <w:color w:val="000000"/>
        </w:rPr>
        <w:footnoteReference w:id="11"/>
      </w:r>
    </w:p>
    <w:p w14:paraId="6BF34B58" w14:textId="383DB56D" w:rsidR="00F653DD" w:rsidRDefault="00B52EF9" w:rsidP="00057437">
      <w:pPr>
        <w:pStyle w:val="39n3n"/>
        <w:rPr>
          <w:rFonts w:asciiTheme="minorHAnsi" w:hAnsiTheme="minorHAnsi" w:cstheme="minorHAnsi"/>
          <w:color w:val="000000"/>
        </w:rPr>
      </w:pPr>
      <w:r>
        <w:rPr>
          <w:rFonts w:asciiTheme="minorHAnsi" w:hAnsiTheme="minorHAnsi" w:cstheme="minorHAnsi"/>
          <w:color w:val="000000"/>
        </w:rPr>
        <w:t xml:space="preserve">An earlier study conducted by </w:t>
      </w:r>
      <w:r w:rsidR="00AA3BF0">
        <w:rPr>
          <w:rFonts w:asciiTheme="minorHAnsi" w:hAnsiTheme="minorHAnsi" w:cstheme="minorHAnsi"/>
          <w:color w:val="000000"/>
        </w:rPr>
        <w:t xml:space="preserve">the </w:t>
      </w:r>
      <w:r w:rsidR="00156516">
        <w:rPr>
          <w:rFonts w:asciiTheme="minorHAnsi" w:hAnsiTheme="minorHAnsi" w:cstheme="minorHAnsi"/>
          <w:color w:val="000000"/>
        </w:rPr>
        <w:t>University of New South Wales (</w:t>
      </w:r>
      <w:r>
        <w:rPr>
          <w:rFonts w:asciiTheme="minorHAnsi" w:hAnsiTheme="minorHAnsi" w:cstheme="minorHAnsi"/>
          <w:color w:val="000000"/>
        </w:rPr>
        <w:t>UNSW</w:t>
      </w:r>
      <w:r w:rsidR="00156516">
        <w:rPr>
          <w:rFonts w:asciiTheme="minorHAnsi" w:hAnsiTheme="minorHAnsi" w:cstheme="minorHAnsi"/>
          <w:color w:val="000000"/>
        </w:rPr>
        <w:t>)</w:t>
      </w:r>
      <w:r>
        <w:rPr>
          <w:rFonts w:asciiTheme="minorHAnsi" w:hAnsiTheme="minorHAnsi" w:cstheme="minorHAnsi"/>
          <w:color w:val="000000"/>
        </w:rPr>
        <w:t xml:space="preserve"> and NSW Health in 2021 during NSW’s ‘first wave’</w:t>
      </w:r>
      <w:r w:rsidR="008A01A7">
        <w:rPr>
          <w:rFonts w:asciiTheme="minorHAnsi" w:hAnsiTheme="minorHAnsi" w:cstheme="minorHAnsi"/>
          <w:color w:val="000000"/>
        </w:rPr>
        <w:t xml:space="preserve"> similarly found that 5% of people diagnosed with </w:t>
      </w:r>
      <w:r w:rsidR="00F9793D">
        <w:rPr>
          <w:rFonts w:asciiTheme="minorHAnsi" w:hAnsiTheme="minorHAnsi" w:cstheme="minorHAnsi"/>
          <w:color w:val="000000"/>
        </w:rPr>
        <w:t>COVID</w:t>
      </w:r>
      <w:r w:rsidR="006F03A8">
        <w:rPr>
          <w:rFonts w:asciiTheme="minorHAnsi" w:hAnsiTheme="minorHAnsi" w:cstheme="minorHAnsi"/>
          <w:color w:val="000000"/>
        </w:rPr>
        <w:t>-19</w:t>
      </w:r>
      <w:r w:rsidR="008A01A7">
        <w:rPr>
          <w:rFonts w:asciiTheme="minorHAnsi" w:hAnsiTheme="minorHAnsi" w:cstheme="minorHAnsi"/>
          <w:color w:val="000000"/>
        </w:rPr>
        <w:t xml:space="preserve"> were still e</w:t>
      </w:r>
      <w:r w:rsidR="007B3529">
        <w:rPr>
          <w:rFonts w:asciiTheme="minorHAnsi" w:hAnsiTheme="minorHAnsi" w:cstheme="minorHAnsi"/>
          <w:color w:val="000000"/>
        </w:rPr>
        <w:t>xperiencing symptoms three months later.</w:t>
      </w:r>
      <w:r w:rsidR="007B3529">
        <w:rPr>
          <w:rStyle w:val="FootnoteReference"/>
          <w:rFonts w:asciiTheme="minorHAnsi" w:hAnsiTheme="minorHAnsi" w:cstheme="minorHAnsi"/>
          <w:color w:val="000000"/>
        </w:rPr>
        <w:footnoteReference w:id="12"/>
      </w:r>
      <w:r w:rsidR="00F34CEA">
        <w:rPr>
          <w:rFonts w:asciiTheme="minorHAnsi" w:hAnsiTheme="minorHAnsi" w:cstheme="minorHAnsi"/>
          <w:color w:val="000000"/>
        </w:rPr>
        <w:t xml:space="preserve"> With approxi</w:t>
      </w:r>
      <w:r w:rsidR="00687BE7">
        <w:rPr>
          <w:rFonts w:asciiTheme="minorHAnsi" w:hAnsiTheme="minorHAnsi" w:cstheme="minorHAnsi"/>
          <w:color w:val="000000"/>
        </w:rPr>
        <w:t xml:space="preserve">mately eight million Australians estimated to have contracted </w:t>
      </w:r>
      <w:r w:rsidR="00F9793D">
        <w:rPr>
          <w:rFonts w:asciiTheme="minorHAnsi" w:hAnsiTheme="minorHAnsi" w:cstheme="minorHAnsi"/>
          <w:color w:val="000000"/>
        </w:rPr>
        <w:t>COVID</w:t>
      </w:r>
      <w:r w:rsidR="00687BE7">
        <w:rPr>
          <w:rFonts w:asciiTheme="minorHAnsi" w:hAnsiTheme="minorHAnsi" w:cstheme="minorHAnsi"/>
          <w:color w:val="000000"/>
        </w:rPr>
        <w:t>-19</w:t>
      </w:r>
      <w:r w:rsidR="007D067C">
        <w:rPr>
          <w:rFonts w:asciiTheme="minorHAnsi" w:hAnsiTheme="minorHAnsi" w:cstheme="minorHAnsi"/>
          <w:color w:val="000000"/>
        </w:rPr>
        <w:t xml:space="preserve"> so far, </w:t>
      </w:r>
      <w:r w:rsidR="004A692A">
        <w:rPr>
          <w:rFonts w:asciiTheme="minorHAnsi" w:hAnsiTheme="minorHAnsi" w:cstheme="minorHAnsi"/>
          <w:color w:val="000000"/>
        </w:rPr>
        <w:t xml:space="preserve">this could equate to 400,000 </w:t>
      </w:r>
      <w:r w:rsidR="006F03A8">
        <w:rPr>
          <w:rFonts w:asciiTheme="minorHAnsi" w:hAnsiTheme="minorHAnsi" w:cstheme="minorHAnsi"/>
          <w:color w:val="000000"/>
        </w:rPr>
        <w:t>Australians</w:t>
      </w:r>
      <w:r w:rsidR="004A692A">
        <w:rPr>
          <w:rFonts w:asciiTheme="minorHAnsi" w:hAnsiTheme="minorHAnsi" w:cstheme="minorHAnsi"/>
          <w:color w:val="000000"/>
        </w:rPr>
        <w:t xml:space="preserve"> </w:t>
      </w:r>
      <w:r w:rsidR="006F03A8">
        <w:rPr>
          <w:rFonts w:asciiTheme="minorHAnsi" w:hAnsiTheme="minorHAnsi" w:cstheme="minorHAnsi"/>
          <w:color w:val="000000"/>
        </w:rPr>
        <w:t>experiencing</w:t>
      </w:r>
      <w:r w:rsidR="004A692A">
        <w:rPr>
          <w:rFonts w:asciiTheme="minorHAnsi" w:hAnsiTheme="minorHAnsi" w:cstheme="minorHAnsi"/>
          <w:color w:val="000000"/>
        </w:rPr>
        <w:t xml:space="preserve"> Long </w:t>
      </w:r>
      <w:r w:rsidR="00F9793D">
        <w:rPr>
          <w:rFonts w:asciiTheme="minorHAnsi" w:hAnsiTheme="minorHAnsi" w:cstheme="minorHAnsi"/>
          <w:color w:val="000000"/>
        </w:rPr>
        <w:t>COVID</w:t>
      </w:r>
      <w:r w:rsidR="004A692A">
        <w:rPr>
          <w:rFonts w:asciiTheme="minorHAnsi" w:hAnsiTheme="minorHAnsi" w:cstheme="minorHAnsi"/>
          <w:color w:val="000000"/>
        </w:rPr>
        <w:t>.</w:t>
      </w:r>
      <w:r w:rsidR="004A692A">
        <w:rPr>
          <w:rStyle w:val="FootnoteReference"/>
          <w:rFonts w:asciiTheme="minorHAnsi" w:hAnsiTheme="minorHAnsi" w:cstheme="minorHAnsi"/>
          <w:color w:val="000000"/>
        </w:rPr>
        <w:footnoteReference w:id="13"/>
      </w:r>
    </w:p>
    <w:p w14:paraId="21CA12E0" w14:textId="0D5B1821" w:rsidR="006F03A8" w:rsidRDefault="006A1691" w:rsidP="00057437">
      <w:pPr>
        <w:pStyle w:val="39n3n"/>
        <w:rPr>
          <w:rFonts w:asciiTheme="minorHAnsi" w:hAnsiTheme="minorHAnsi" w:cstheme="minorHAnsi"/>
          <w:color w:val="000000"/>
        </w:rPr>
      </w:pPr>
      <w:r>
        <w:rPr>
          <w:rFonts w:asciiTheme="minorHAnsi" w:hAnsiTheme="minorHAnsi" w:cstheme="minorHAnsi"/>
          <w:color w:val="000000"/>
        </w:rPr>
        <w:t>Though more data is required</w:t>
      </w:r>
      <w:r w:rsidR="00AF6D6E">
        <w:rPr>
          <w:rFonts w:asciiTheme="minorHAnsi" w:hAnsiTheme="minorHAnsi" w:cstheme="minorHAnsi"/>
          <w:color w:val="000000"/>
        </w:rPr>
        <w:t xml:space="preserve"> to gain a clearer picture of the situation, this preliminary research demonstrates </w:t>
      </w:r>
      <w:r w:rsidR="00817164">
        <w:rPr>
          <w:rFonts w:asciiTheme="minorHAnsi" w:hAnsiTheme="minorHAnsi" w:cstheme="minorHAnsi"/>
          <w:color w:val="000000"/>
        </w:rPr>
        <w:t>the</w:t>
      </w:r>
      <w:r w:rsidR="00AF6D6E">
        <w:rPr>
          <w:rFonts w:asciiTheme="minorHAnsi" w:hAnsiTheme="minorHAnsi" w:cstheme="minorHAnsi"/>
          <w:color w:val="000000"/>
        </w:rPr>
        <w:t xml:space="preserve"> prevalence of Long </w:t>
      </w:r>
      <w:r w:rsidR="00F9793D">
        <w:rPr>
          <w:rFonts w:asciiTheme="minorHAnsi" w:hAnsiTheme="minorHAnsi" w:cstheme="minorHAnsi"/>
          <w:color w:val="000000"/>
        </w:rPr>
        <w:t>COVID</w:t>
      </w:r>
      <w:r w:rsidR="00AF6D6E">
        <w:rPr>
          <w:rFonts w:asciiTheme="minorHAnsi" w:hAnsiTheme="minorHAnsi" w:cstheme="minorHAnsi"/>
          <w:color w:val="000000"/>
        </w:rPr>
        <w:t xml:space="preserve"> </w:t>
      </w:r>
      <w:r w:rsidR="00410C7F">
        <w:rPr>
          <w:rFonts w:asciiTheme="minorHAnsi" w:hAnsiTheme="minorHAnsi" w:cstheme="minorHAnsi"/>
          <w:color w:val="000000"/>
        </w:rPr>
        <w:t xml:space="preserve">in the community and </w:t>
      </w:r>
      <w:r w:rsidR="00832428">
        <w:rPr>
          <w:rFonts w:asciiTheme="minorHAnsi" w:hAnsiTheme="minorHAnsi" w:cstheme="minorHAnsi"/>
          <w:color w:val="000000"/>
        </w:rPr>
        <w:t>its potential to greatly increase the burden of disability.</w:t>
      </w:r>
    </w:p>
    <w:p w14:paraId="7A099DE9" w14:textId="77777777" w:rsidR="003A7C93" w:rsidRDefault="003A7C93" w:rsidP="00057437">
      <w:pPr>
        <w:pStyle w:val="39n3n"/>
        <w:rPr>
          <w:rFonts w:asciiTheme="minorHAnsi" w:hAnsiTheme="minorHAnsi" w:cstheme="minorHAnsi"/>
          <w:color w:val="000000"/>
          <w:highlight w:val="yellow"/>
        </w:rPr>
      </w:pPr>
    </w:p>
    <w:p w14:paraId="37488D94" w14:textId="77777777" w:rsidR="00991C40" w:rsidRDefault="00991C40" w:rsidP="00991C40">
      <w:pPr>
        <w:pStyle w:val="39n3n"/>
        <w:ind w:left="540"/>
        <w:rPr>
          <w:rFonts w:ascii="Segoe UI" w:hAnsi="Segoe UI" w:cs="Segoe UI"/>
          <w:color w:val="000000"/>
        </w:rPr>
      </w:pPr>
    </w:p>
    <w:p w14:paraId="35653C69" w14:textId="07CB6330" w:rsidR="00B00D4B" w:rsidRPr="00A91A00" w:rsidRDefault="00B00D4B" w:rsidP="00885E70">
      <w:pPr>
        <w:rPr>
          <w:rFonts w:asciiTheme="minorHAnsi" w:hAnsiTheme="minorHAnsi" w:cstheme="minorHAnsi"/>
          <w:lang w:val="en-AU"/>
        </w:rPr>
      </w:pPr>
    </w:p>
    <w:p w14:paraId="20A8D027" w14:textId="074625FD" w:rsidR="00B00D4B" w:rsidRPr="00A91A00" w:rsidRDefault="00B00D4B" w:rsidP="00885E70">
      <w:pPr>
        <w:rPr>
          <w:rFonts w:asciiTheme="minorHAnsi" w:hAnsiTheme="minorHAnsi" w:cstheme="minorHAnsi"/>
          <w:lang w:val="en-AU"/>
        </w:rPr>
      </w:pPr>
    </w:p>
    <w:p w14:paraId="519A23A4" w14:textId="77777777" w:rsidR="003A692C" w:rsidRPr="00A91A00" w:rsidRDefault="003A692C" w:rsidP="003A692C">
      <w:pPr>
        <w:rPr>
          <w:lang w:val="en-AU" w:eastAsia="zh-CN"/>
        </w:rPr>
      </w:pPr>
    </w:p>
    <w:p w14:paraId="3FC27B6F" w14:textId="37818ED7" w:rsidR="003A692C" w:rsidRPr="00A91A00" w:rsidRDefault="00470A80" w:rsidP="00481040">
      <w:pPr>
        <w:pStyle w:val="HeadingNew"/>
        <w:rPr>
          <w:lang w:val="en-AU"/>
        </w:rPr>
      </w:pPr>
      <w:r w:rsidRPr="00A91A00">
        <w:rPr>
          <w:lang w:val="en-AU"/>
        </w:rPr>
        <w:lastRenderedPageBreak/>
        <w:t xml:space="preserve">Matters of </w:t>
      </w:r>
      <w:r w:rsidR="00CB622D">
        <w:rPr>
          <w:lang w:val="en-AU"/>
        </w:rPr>
        <w:t>S</w:t>
      </w:r>
      <w:r w:rsidR="0093660E">
        <w:rPr>
          <w:lang w:val="en-AU"/>
        </w:rPr>
        <w:t xml:space="preserve">ignificant </w:t>
      </w:r>
      <w:r w:rsidR="00CB622D">
        <w:rPr>
          <w:lang w:val="en-AU"/>
        </w:rPr>
        <w:t>C</w:t>
      </w:r>
      <w:r w:rsidRPr="00A91A00">
        <w:rPr>
          <w:lang w:val="en-AU"/>
        </w:rPr>
        <w:t>oncern</w:t>
      </w:r>
    </w:p>
    <w:p w14:paraId="116233A0" w14:textId="335A9A61" w:rsidR="0093660E" w:rsidRDefault="00832428" w:rsidP="0093660E">
      <w:pPr>
        <w:rPr>
          <w:rFonts w:asciiTheme="minorHAnsi" w:hAnsiTheme="minorHAnsi" w:cstheme="minorHAnsi"/>
          <w:lang w:val="en-AU"/>
        </w:rPr>
      </w:pPr>
      <w:r>
        <w:rPr>
          <w:rFonts w:asciiTheme="minorHAnsi" w:hAnsiTheme="minorHAnsi" w:cstheme="minorHAnsi"/>
          <w:lang w:val="en-AU"/>
        </w:rPr>
        <w:t xml:space="preserve">Having established </w:t>
      </w:r>
      <w:r w:rsidR="0031543A">
        <w:rPr>
          <w:rFonts w:asciiTheme="minorHAnsi" w:hAnsiTheme="minorHAnsi" w:cstheme="minorHAnsi"/>
          <w:lang w:val="en-AU"/>
        </w:rPr>
        <w:t xml:space="preserve">an understanding of Long </w:t>
      </w:r>
      <w:r w:rsidR="00F9793D">
        <w:rPr>
          <w:rFonts w:asciiTheme="minorHAnsi" w:hAnsiTheme="minorHAnsi" w:cstheme="minorHAnsi"/>
          <w:lang w:val="en-AU"/>
        </w:rPr>
        <w:t>COVID</w:t>
      </w:r>
      <w:r w:rsidR="0031543A">
        <w:rPr>
          <w:rFonts w:asciiTheme="minorHAnsi" w:hAnsiTheme="minorHAnsi" w:cstheme="minorHAnsi"/>
          <w:lang w:val="en-AU"/>
        </w:rPr>
        <w:t xml:space="preserve"> as a disability</w:t>
      </w:r>
      <w:r w:rsidR="00CD041E">
        <w:rPr>
          <w:rFonts w:asciiTheme="minorHAnsi" w:hAnsiTheme="minorHAnsi" w:cstheme="minorHAnsi"/>
          <w:lang w:val="en-AU"/>
        </w:rPr>
        <w:t xml:space="preserve"> </w:t>
      </w:r>
      <w:r w:rsidR="0031543A">
        <w:rPr>
          <w:rFonts w:asciiTheme="minorHAnsi" w:hAnsiTheme="minorHAnsi" w:cstheme="minorHAnsi"/>
          <w:lang w:val="en-AU"/>
        </w:rPr>
        <w:t xml:space="preserve">and its potential to greatly </w:t>
      </w:r>
      <w:r w:rsidR="00D042BF">
        <w:rPr>
          <w:rFonts w:asciiTheme="minorHAnsi" w:hAnsiTheme="minorHAnsi" w:cstheme="minorHAnsi"/>
          <w:lang w:val="en-AU"/>
        </w:rPr>
        <w:t xml:space="preserve">increase the burden of disability in Australia, there are </w:t>
      </w:r>
      <w:proofErr w:type="gramStart"/>
      <w:r w:rsidR="00D042BF">
        <w:rPr>
          <w:rFonts w:asciiTheme="minorHAnsi" w:hAnsiTheme="minorHAnsi" w:cstheme="minorHAnsi"/>
          <w:lang w:val="en-AU"/>
        </w:rPr>
        <w:t>a number of</w:t>
      </w:r>
      <w:proofErr w:type="gramEnd"/>
      <w:r w:rsidR="00D042BF">
        <w:rPr>
          <w:rFonts w:asciiTheme="minorHAnsi" w:hAnsiTheme="minorHAnsi" w:cstheme="minorHAnsi"/>
          <w:lang w:val="en-AU"/>
        </w:rPr>
        <w:t xml:space="preserve"> </w:t>
      </w:r>
      <w:r w:rsidR="00933204">
        <w:rPr>
          <w:rFonts w:asciiTheme="minorHAnsi" w:hAnsiTheme="minorHAnsi" w:cstheme="minorHAnsi"/>
          <w:lang w:val="en-AU"/>
        </w:rPr>
        <w:t>key</w:t>
      </w:r>
      <w:r w:rsidR="00D042BF">
        <w:rPr>
          <w:rFonts w:asciiTheme="minorHAnsi" w:hAnsiTheme="minorHAnsi" w:cstheme="minorHAnsi"/>
          <w:lang w:val="en-AU"/>
        </w:rPr>
        <w:t xml:space="preserve"> issues that AFDO would bring to the Committee’s attention.</w:t>
      </w:r>
      <w:r w:rsidR="00106F5D">
        <w:rPr>
          <w:rFonts w:asciiTheme="minorHAnsi" w:hAnsiTheme="minorHAnsi" w:cstheme="minorHAnsi"/>
          <w:lang w:val="en-AU"/>
        </w:rPr>
        <w:br/>
      </w:r>
    </w:p>
    <w:p w14:paraId="5504121E" w14:textId="6B1368D6" w:rsidR="00C65D3E" w:rsidRDefault="00A15577" w:rsidP="00C65D3E">
      <w:pPr>
        <w:rPr>
          <w:rFonts w:asciiTheme="minorHAnsi" w:hAnsiTheme="minorHAnsi" w:cstheme="minorHAnsi"/>
          <w:lang w:val="en-AU"/>
        </w:rPr>
      </w:pPr>
      <w:r w:rsidRPr="00C65D3E">
        <w:rPr>
          <w:rFonts w:asciiTheme="minorHAnsi" w:hAnsiTheme="minorHAnsi" w:cstheme="minorHAnsi"/>
          <w:b/>
          <w:bCs/>
          <w:lang w:val="en-AU"/>
        </w:rPr>
        <w:t xml:space="preserve">Numbers may be higher than </w:t>
      </w:r>
      <w:r w:rsidR="00575F45" w:rsidRPr="00C65D3E">
        <w:rPr>
          <w:rFonts w:asciiTheme="minorHAnsi" w:hAnsiTheme="minorHAnsi" w:cstheme="minorHAnsi"/>
          <w:b/>
          <w:bCs/>
          <w:lang w:val="en-AU"/>
        </w:rPr>
        <w:t>current Australian research indicates</w:t>
      </w:r>
    </w:p>
    <w:p w14:paraId="606DDBBB" w14:textId="746E04F3" w:rsidR="000F010A" w:rsidRPr="00E470A2" w:rsidRDefault="00780048" w:rsidP="00B95C54">
      <w:pPr>
        <w:pStyle w:val="ListParagraph"/>
        <w:numPr>
          <w:ilvl w:val="0"/>
          <w:numId w:val="10"/>
        </w:numPr>
        <w:rPr>
          <w:rFonts w:asciiTheme="minorHAnsi" w:hAnsiTheme="minorHAnsi" w:cstheme="minorHAnsi"/>
          <w:lang w:val="en-AU"/>
        </w:rPr>
      </w:pPr>
      <w:r>
        <w:rPr>
          <w:rFonts w:asciiTheme="minorHAnsi" w:hAnsiTheme="minorHAnsi" w:cstheme="minorHAnsi"/>
          <w:lang w:val="en-AU"/>
        </w:rPr>
        <w:t>Presently, ther</w:t>
      </w:r>
      <w:r w:rsidR="00EC53E5">
        <w:rPr>
          <w:rFonts w:asciiTheme="minorHAnsi" w:hAnsiTheme="minorHAnsi" w:cstheme="minorHAnsi"/>
          <w:lang w:val="en-AU"/>
        </w:rPr>
        <w:t xml:space="preserve">e is no official data on the number of people with Long </w:t>
      </w:r>
      <w:r w:rsidR="00F9793D">
        <w:rPr>
          <w:rFonts w:asciiTheme="minorHAnsi" w:hAnsiTheme="minorHAnsi" w:cstheme="minorHAnsi"/>
          <w:lang w:val="en-AU"/>
        </w:rPr>
        <w:t>COVID</w:t>
      </w:r>
      <w:r w:rsidR="00EC53E5">
        <w:rPr>
          <w:rFonts w:asciiTheme="minorHAnsi" w:hAnsiTheme="minorHAnsi" w:cstheme="minorHAnsi"/>
          <w:lang w:val="en-AU"/>
        </w:rPr>
        <w:t xml:space="preserve"> in Australia</w:t>
      </w:r>
      <w:r w:rsidR="00AE6CBA">
        <w:rPr>
          <w:rFonts w:asciiTheme="minorHAnsi" w:hAnsiTheme="minorHAnsi" w:cstheme="minorHAnsi"/>
          <w:lang w:val="en-AU"/>
        </w:rPr>
        <w:t xml:space="preserve">. </w:t>
      </w:r>
      <w:r w:rsidR="00381207" w:rsidRPr="00E470A2">
        <w:rPr>
          <w:rFonts w:asciiTheme="minorHAnsi" w:hAnsiTheme="minorHAnsi" w:cstheme="minorHAnsi"/>
          <w:lang w:val="en-AU"/>
        </w:rPr>
        <w:t>New modelling from Deakin and the University of Tasmania</w:t>
      </w:r>
      <w:r w:rsidR="005D7043">
        <w:rPr>
          <w:rFonts w:asciiTheme="minorHAnsi" w:hAnsiTheme="minorHAnsi" w:cstheme="minorHAnsi"/>
          <w:lang w:val="en-AU"/>
        </w:rPr>
        <w:t xml:space="preserve"> estimates that up to 500,000 </w:t>
      </w:r>
      <w:r w:rsidR="00B87706">
        <w:rPr>
          <w:rFonts w:asciiTheme="minorHAnsi" w:hAnsiTheme="minorHAnsi" w:cstheme="minorHAnsi"/>
          <w:lang w:val="en-AU"/>
        </w:rPr>
        <w:t xml:space="preserve">people could be experiencing Long </w:t>
      </w:r>
      <w:r w:rsidR="00F9793D">
        <w:rPr>
          <w:rFonts w:asciiTheme="minorHAnsi" w:hAnsiTheme="minorHAnsi" w:cstheme="minorHAnsi"/>
          <w:lang w:val="en-AU"/>
        </w:rPr>
        <w:t>COVID</w:t>
      </w:r>
      <w:r w:rsidR="00B87706">
        <w:rPr>
          <w:rFonts w:asciiTheme="minorHAnsi" w:hAnsiTheme="minorHAnsi" w:cstheme="minorHAnsi"/>
          <w:lang w:val="en-AU"/>
        </w:rPr>
        <w:t xml:space="preserve"> by the beginning of December, </w:t>
      </w:r>
      <w:r w:rsidR="00E60A6E">
        <w:rPr>
          <w:rFonts w:asciiTheme="minorHAnsi" w:hAnsiTheme="minorHAnsi" w:cstheme="minorHAnsi"/>
          <w:lang w:val="en-AU"/>
        </w:rPr>
        <w:t>with more than one fifth of those suffering “significant impacts”.</w:t>
      </w:r>
      <w:r w:rsidR="00E60A6E">
        <w:rPr>
          <w:rStyle w:val="FootnoteReference"/>
          <w:rFonts w:asciiTheme="minorHAnsi" w:hAnsiTheme="minorHAnsi" w:cstheme="minorHAnsi"/>
          <w:lang w:val="en-AU"/>
        </w:rPr>
        <w:footnoteReference w:id="14"/>
      </w:r>
    </w:p>
    <w:p w14:paraId="775F3520" w14:textId="177D63B3" w:rsidR="00CF18A0" w:rsidRPr="00E41A72" w:rsidRDefault="000F010A" w:rsidP="00B95C54">
      <w:pPr>
        <w:pStyle w:val="ListParagraph"/>
        <w:numPr>
          <w:ilvl w:val="0"/>
          <w:numId w:val="10"/>
        </w:numPr>
        <w:rPr>
          <w:rFonts w:asciiTheme="minorHAnsi" w:hAnsiTheme="minorHAnsi" w:cstheme="minorHAnsi"/>
          <w:lang w:val="en-AU"/>
        </w:rPr>
      </w:pPr>
      <w:r>
        <w:rPr>
          <w:rFonts w:asciiTheme="minorHAnsi" w:hAnsiTheme="minorHAnsi" w:cstheme="minorHAnsi"/>
          <w:lang w:val="en-AU"/>
        </w:rPr>
        <w:t xml:space="preserve">Comparisons with international data suggest that current estimates may be </w:t>
      </w:r>
      <w:r w:rsidR="00E470A2">
        <w:rPr>
          <w:rFonts w:asciiTheme="minorHAnsi" w:hAnsiTheme="minorHAnsi" w:cstheme="minorHAnsi"/>
          <w:lang w:val="en-AU"/>
        </w:rPr>
        <w:t xml:space="preserve">too low. </w:t>
      </w:r>
      <w:r w:rsidRPr="001B02E7">
        <w:rPr>
          <w:rFonts w:asciiTheme="minorHAnsi" w:hAnsiTheme="minorHAnsi" w:cstheme="minorHAnsi"/>
          <w:lang w:val="en-AU"/>
        </w:rPr>
        <w:t xml:space="preserve">A recent report </w:t>
      </w:r>
      <w:r>
        <w:rPr>
          <w:rFonts w:asciiTheme="minorHAnsi" w:hAnsiTheme="minorHAnsi" w:cstheme="minorHAnsi"/>
          <w:lang w:val="en-AU"/>
        </w:rPr>
        <w:t xml:space="preserve">by the CDC in the US found that approximately 20% of people who had </w:t>
      </w:r>
      <w:r w:rsidR="00F9793D">
        <w:rPr>
          <w:rFonts w:asciiTheme="minorHAnsi" w:hAnsiTheme="minorHAnsi" w:cstheme="minorHAnsi"/>
          <w:lang w:val="en-AU"/>
        </w:rPr>
        <w:t>COVID</w:t>
      </w:r>
      <w:r>
        <w:rPr>
          <w:rFonts w:asciiTheme="minorHAnsi" w:hAnsiTheme="minorHAnsi" w:cstheme="minorHAnsi"/>
          <w:lang w:val="en-AU"/>
        </w:rPr>
        <w:t xml:space="preserve">-19 later experienced symptoms that could be attributed to Long </w:t>
      </w:r>
      <w:r w:rsidR="00F9793D">
        <w:rPr>
          <w:rFonts w:asciiTheme="minorHAnsi" w:hAnsiTheme="minorHAnsi" w:cstheme="minorHAnsi"/>
          <w:lang w:val="en-AU"/>
        </w:rPr>
        <w:t>COVID</w:t>
      </w:r>
      <w:r>
        <w:rPr>
          <w:rFonts w:asciiTheme="minorHAnsi" w:hAnsiTheme="minorHAnsi" w:cstheme="minorHAnsi"/>
          <w:lang w:val="en-AU"/>
        </w:rPr>
        <w:t>.</w:t>
      </w:r>
      <w:r>
        <w:rPr>
          <w:rStyle w:val="FootnoteReference"/>
          <w:rFonts w:asciiTheme="minorHAnsi" w:hAnsiTheme="minorHAnsi" w:cstheme="minorHAnsi"/>
          <w:lang w:val="en-AU"/>
        </w:rPr>
        <w:footnoteReference w:id="15"/>
      </w:r>
      <w:r>
        <w:rPr>
          <w:rFonts w:asciiTheme="minorHAnsi" w:hAnsiTheme="minorHAnsi" w:cstheme="minorHAnsi"/>
          <w:lang w:val="en-AU"/>
        </w:rPr>
        <w:t xml:space="preserve"> Dr Al-Aly, a clinical epidemiologist and one of the US’ leading Long </w:t>
      </w:r>
      <w:r w:rsidR="00F9793D">
        <w:rPr>
          <w:rFonts w:asciiTheme="minorHAnsi" w:hAnsiTheme="minorHAnsi" w:cstheme="minorHAnsi"/>
          <w:lang w:val="en-AU"/>
        </w:rPr>
        <w:t>COVID</w:t>
      </w:r>
      <w:r>
        <w:rPr>
          <w:rFonts w:asciiTheme="minorHAnsi" w:hAnsiTheme="minorHAnsi" w:cstheme="minorHAnsi"/>
          <w:lang w:val="en-AU"/>
        </w:rPr>
        <w:t xml:space="preserve"> researchers, suggested that this statistic could </w:t>
      </w:r>
      <w:r w:rsidR="00DA1EBE">
        <w:rPr>
          <w:rFonts w:asciiTheme="minorHAnsi" w:hAnsiTheme="minorHAnsi" w:cstheme="minorHAnsi"/>
          <w:lang w:val="en-AU"/>
        </w:rPr>
        <w:t xml:space="preserve">likely </w:t>
      </w:r>
      <w:r>
        <w:rPr>
          <w:rFonts w:asciiTheme="minorHAnsi" w:hAnsiTheme="minorHAnsi" w:cstheme="minorHAnsi"/>
          <w:lang w:val="en-AU"/>
        </w:rPr>
        <w:t>also apply to Australia, meaning more than one million Australians could be affected.</w:t>
      </w:r>
      <w:r>
        <w:rPr>
          <w:rStyle w:val="FootnoteReference"/>
          <w:rFonts w:asciiTheme="minorHAnsi" w:hAnsiTheme="minorHAnsi" w:cstheme="minorHAnsi"/>
          <w:lang w:val="en-AU"/>
        </w:rPr>
        <w:footnoteReference w:id="16"/>
      </w:r>
      <w:r w:rsidR="00106F5D">
        <w:rPr>
          <w:rFonts w:asciiTheme="minorHAnsi" w:hAnsiTheme="minorHAnsi" w:cstheme="minorHAnsi"/>
          <w:lang w:val="en-AU"/>
        </w:rPr>
        <w:br/>
      </w:r>
    </w:p>
    <w:p w14:paraId="3656B074" w14:textId="37486B45" w:rsidR="00575F45" w:rsidRDefault="00575F45" w:rsidP="0020048B">
      <w:pPr>
        <w:rPr>
          <w:rFonts w:asciiTheme="minorHAnsi" w:hAnsiTheme="minorHAnsi" w:cstheme="minorHAnsi"/>
          <w:b/>
          <w:bCs/>
          <w:lang w:val="en-AU"/>
        </w:rPr>
      </w:pPr>
      <w:r w:rsidRPr="0020048B">
        <w:rPr>
          <w:rFonts w:asciiTheme="minorHAnsi" w:hAnsiTheme="minorHAnsi" w:cstheme="minorHAnsi"/>
          <w:b/>
          <w:bCs/>
          <w:lang w:val="en-AU"/>
        </w:rPr>
        <w:t>Vaccination appears to pro</w:t>
      </w:r>
      <w:r w:rsidR="00340E81" w:rsidRPr="0020048B">
        <w:rPr>
          <w:rFonts w:asciiTheme="minorHAnsi" w:hAnsiTheme="minorHAnsi" w:cstheme="minorHAnsi"/>
          <w:b/>
          <w:bCs/>
          <w:lang w:val="en-AU"/>
        </w:rPr>
        <w:t xml:space="preserve">vide minimal protection against Long </w:t>
      </w:r>
      <w:r w:rsidR="00F9793D">
        <w:rPr>
          <w:rFonts w:asciiTheme="minorHAnsi" w:hAnsiTheme="minorHAnsi" w:cstheme="minorHAnsi"/>
          <w:b/>
          <w:bCs/>
          <w:lang w:val="en-AU"/>
        </w:rPr>
        <w:t>COVID</w:t>
      </w:r>
    </w:p>
    <w:p w14:paraId="2E479B0D" w14:textId="1463CDD0" w:rsidR="0020048B" w:rsidRDefault="0020048B" w:rsidP="00B95C54">
      <w:pPr>
        <w:pStyle w:val="ListParagraph"/>
        <w:numPr>
          <w:ilvl w:val="0"/>
          <w:numId w:val="9"/>
        </w:numPr>
        <w:rPr>
          <w:rFonts w:asciiTheme="minorHAnsi" w:hAnsiTheme="minorHAnsi" w:cstheme="minorHAnsi"/>
          <w:lang w:val="en-AU"/>
        </w:rPr>
      </w:pPr>
      <w:r>
        <w:rPr>
          <w:rFonts w:asciiTheme="minorHAnsi" w:hAnsiTheme="minorHAnsi" w:cstheme="minorHAnsi"/>
          <w:lang w:val="en-AU"/>
        </w:rPr>
        <w:t xml:space="preserve">A US study of </w:t>
      </w:r>
      <w:r w:rsidR="00915D38">
        <w:rPr>
          <w:rFonts w:asciiTheme="minorHAnsi" w:hAnsiTheme="minorHAnsi" w:cstheme="minorHAnsi"/>
          <w:lang w:val="en-AU"/>
        </w:rPr>
        <w:t xml:space="preserve">more than 13 million people </w:t>
      </w:r>
      <w:r w:rsidR="00B72BC5">
        <w:rPr>
          <w:rFonts w:asciiTheme="minorHAnsi" w:hAnsiTheme="minorHAnsi" w:cstheme="minorHAnsi"/>
          <w:lang w:val="en-AU"/>
        </w:rPr>
        <w:t>–</w:t>
      </w:r>
      <w:r w:rsidR="00915D38">
        <w:rPr>
          <w:rFonts w:asciiTheme="minorHAnsi" w:hAnsiTheme="minorHAnsi" w:cstheme="minorHAnsi"/>
          <w:lang w:val="en-AU"/>
        </w:rPr>
        <w:t xml:space="preserve"> </w:t>
      </w:r>
      <w:r w:rsidR="00B72BC5">
        <w:rPr>
          <w:rFonts w:asciiTheme="minorHAnsi" w:hAnsiTheme="minorHAnsi" w:cstheme="minorHAnsi"/>
          <w:lang w:val="en-AU"/>
        </w:rPr>
        <w:t xml:space="preserve">the largest cohort studied to date </w:t>
      </w:r>
      <w:r w:rsidR="0066671D">
        <w:rPr>
          <w:rFonts w:asciiTheme="minorHAnsi" w:hAnsiTheme="minorHAnsi" w:cstheme="minorHAnsi"/>
          <w:lang w:val="en-AU"/>
        </w:rPr>
        <w:t>– suggests</w:t>
      </w:r>
      <w:r w:rsidR="000A6C1E">
        <w:rPr>
          <w:rFonts w:asciiTheme="minorHAnsi" w:hAnsiTheme="minorHAnsi" w:cstheme="minorHAnsi"/>
          <w:lang w:val="en-AU"/>
        </w:rPr>
        <w:t xml:space="preserve"> that</w:t>
      </w:r>
      <w:r w:rsidR="008F7152">
        <w:rPr>
          <w:rFonts w:asciiTheme="minorHAnsi" w:hAnsiTheme="minorHAnsi" w:cstheme="minorHAnsi"/>
          <w:lang w:val="en-AU"/>
        </w:rPr>
        <w:t xml:space="preserve"> </w:t>
      </w:r>
      <w:r w:rsidR="00F82996">
        <w:rPr>
          <w:rFonts w:asciiTheme="minorHAnsi" w:hAnsiTheme="minorHAnsi" w:cstheme="minorHAnsi"/>
          <w:lang w:val="en-AU"/>
        </w:rPr>
        <w:t xml:space="preserve">vaccination provides only minimal protection against Long </w:t>
      </w:r>
      <w:r w:rsidR="00F9793D">
        <w:rPr>
          <w:rFonts w:asciiTheme="minorHAnsi" w:hAnsiTheme="minorHAnsi" w:cstheme="minorHAnsi"/>
          <w:lang w:val="en-AU"/>
        </w:rPr>
        <w:t>COVID</w:t>
      </w:r>
      <w:r w:rsidR="003D06AF">
        <w:rPr>
          <w:rFonts w:asciiTheme="minorHAnsi" w:hAnsiTheme="minorHAnsi" w:cstheme="minorHAnsi"/>
          <w:lang w:val="en-AU"/>
        </w:rPr>
        <w:t>, reducing</w:t>
      </w:r>
      <w:r w:rsidR="00B72BC5">
        <w:rPr>
          <w:rFonts w:asciiTheme="minorHAnsi" w:hAnsiTheme="minorHAnsi" w:cstheme="minorHAnsi"/>
          <w:lang w:val="en-AU"/>
        </w:rPr>
        <w:t xml:space="preserve"> the</w:t>
      </w:r>
      <w:r w:rsidR="003D06AF">
        <w:rPr>
          <w:rFonts w:asciiTheme="minorHAnsi" w:hAnsiTheme="minorHAnsi" w:cstheme="minorHAnsi"/>
          <w:lang w:val="en-AU"/>
        </w:rPr>
        <w:t xml:space="preserve"> risk by a modest 15%.</w:t>
      </w:r>
      <w:r w:rsidR="003D06AF">
        <w:rPr>
          <w:rStyle w:val="FootnoteReference"/>
          <w:rFonts w:asciiTheme="minorHAnsi" w:hAnsiTheme="minorHAnsi" w:cstheme="minorHAnsi"/>
          <w:lang w:val="en-AU"/>
        </w:rPr>
        <w:footnoteReference w:id="17"/>
      </w:r>
      <w:r w:rsidR="005B44EA">
        <w:rPr>
          <w:rFonts w:asciiTheme="minorHAnsi" w:hAnsiTheme="minorHAnsi" w:cstheme="minorHAnsi"/>
          <w:lang w:val="en-AU"/>
        </w:rPr>
        <w:t xml:space="preserve"> </w:t>
      </w:r>
      <w:r w:rsidR="006173C7">
        <w:rPr>
          <w:rFonts w:asciiTheme="minorHAnsi" w:hAnsiTheme="minorHAnsi" w:cstheme="minorHAnsi"/>
          <w:lang w:val="en-AU"/>
        </w:rPr>
        <w:t xml:space="preserve">This </w:t>
      </w:r>
      <w:proofErr w:type="gramStart"/>
      <w:r w:rsidR="006173C7">
        <w:rPr>
          <w:rFonts w:asciiTheme="minorHAnsi" w:hAnsiTheme="minorHAnsi" w:cstheme="minorHAnsi"/>
          <w:lang w:val="en-AU"/>
        </w:rPr>
        <w:t>is in contrast to</w:t>
      </w:r>
      <w:proofErr w:type="gramEnd"/>
      <w:r w:rsidR="006173C7">
        <w:rPr>
          <w:rFonts w:asciiTheme="minorHAnsi" w:hAnsiTheme="minorHAnsi" w:cstheme="minorHAnsi"/>
          <w:lang w:val="en-AU"/>
        </w:rPr>
        <w:t xml:space="preserve"> earlier, smaller studies that reported much </w:t>
      </w:r>
      <w:r w:rsidR="00EE71A2">
        <w:rPr>
          <w:rFonts w:asciiTheme="minorHAnsi" w:hAnsiTheme="minorHAnsi" w:cstheme="minorHAnsi"/>
          <w:lang w:val="en-AU"/>
        </w:rPr>
        <w:t>higher protection rates</w:t>
      </w:r>
      <w:r w:rsidR="00BA1323">
        <w:rPr>
          <w:rFonts w:asciiTheme="minorHAnsi" w:hAnsiTheme="minorHAnsi" w:cstheme="minorHAnsi"/>
          <w:lang w:val="en-AU"/>
        </w:rPr>
        <w:t>.</w:t>
      </w:r>
    </w:p>
    <w:p w14:paraId="256F461C" w14:textId="20B4D343" w:rsidR="00767299" w:rsidRDefault="00767299" w:rsidP="00B95C54">
      <w:pPr>
        <w:pStyle w:val="ListParagraph"/>
        <w:numPr>
          <w:ilvl w:val="0"/>
          <w:numId w:val="9"/>
        </w:numPr>
        <w:rPr>
          <w:rFonts w:asciiTheme="minorHAnsi" w:hAnsiTheme="minorHAnsi" w:cstheme="minorBidi"/>
          <w:lang w:val="en-AU"/>
        </w:rPr>
      </w:pPr>
      <w:r w:rsidRPr="66807981">
        <w:rPr>
          <w:rFonts w:asciiTheme="minorHAnsi" w:hAnsiTheme="minorHAnsi" w:cstheme="minorBidi"/>
          <w:lang w:val="en-AU"/>
        </w:rPr>
        <w:t>Th</w:t>
      </w:r>
      <w:r w:rsidR="003E3966" w:rsidRPr="66807981">
        <w:rPr>
          <w:rFonts w:asciiTheme="minorHAnsi" w:hAnsiTheme="minorHAnsi" w:cstheme="minorBidi"/>
          <w:lang w:val="en-AU"/>
        </w:rPr>
        <w:t xml:space="preserve">e limited efficacy of vaccination in reducing Long </w:t>
      </w:r>
      <w:r w:rsidR="00F9793D">
        <w:rPr>
          <w:rFonts w:asciiTheme="minorHAnsi" w:hAnsiTheme="minorHAnsi" w:cstheme="minorBidi"/>
          <w:lang w:val="en-AU"/>
        </w:rPr>
        <w:t>COVID</w:t>
      </w:r>
      <w:r w:rsidR="003E3966" w:rsidRPr="66807981">
        <w:rPr>
          <w:rFonts w:asciiTheme="minorHAnsi" w:hAnsiTheme="minorHAnsi" w:cstheme="minorBidi"/>
          <w:lang w:val="en-AU"/>
        </w:rPr>
        <w:t xml:space="preserve"> has been echoed in statements by </w:t>
      </w:r>
      <w:r w:rsidR="00440B21" w:rsidRPr="66807981">
        <w:rPr>
          <w:rFonts w:asciiTheme="minorHAnsi" w:hAnsiTheme="minorHAnsi" w:cstheme="minorBidi"/>
          <w:lang w:val="en-AU"/>
        </w:rPr>
        <w:t>Dr Steven</w:t>
      </w:r>
      <w:r w:rsidR="003E3966" w:rsidRPr="66807981">
        <w:rPr>
          <w:rFonts w:asciiTheme="minorHAnsi" w:hAnsiTheme="minorHAnsi" w:cstheme="minorBidi"/>
          <w:lang w:val="en-AU"/>
        </w:rPr>
        <w:t xml:space="preserve"> Faux, </w:t>
      </w:r>
      <w:r w:rsidR="001507CA" w:rsidRPr="66807981">
        <w:rPr>
          <w:rFonts w:asciiTheme="minorHAnsi" w:hAnsiTheme="minorHAnsi" w:cstheme="minorBidi"/>
          <w:lang w:val="en-AU"/>
        </w:rPr>
        <w:t xml:space="preserve">Co-Director of the Long </w:t>
      </w:r>
      <w:r w:rsidR="00F9793D">
        <w:rPr>
          <w:rFonts w:asciiTheme="minorHAnsi" w:hAnsiTheme="minorHAnsi" w:cstheme="minorBidi"/>
          <w:lang w:val="en-AU"/>
        </w:rPr>
        <w:t>COVID</w:t>
      </w:r>
      <w:r w:rsidR="001507CA" w:rsidRPr="66807981">
        <w:rPr>
          <w:rFonts w:asciiTheme="minorHAnsi" w:hAnsiTheme="minorHAnsi" w:cstheme="minorBidi"/>
          <w:lang w:val="en-AU"/>
        </w:rPr>
        <w:t xml:space="preserve"> </w:t>
      </w:r>
      <w:r w:rsidR="3F7D2DC7" w:rsidRPr="66807981">
        <w:rPr>
          <w:rFonts w:asciiTheme="minorHAnsi" w:hAnsiTheme="minorHAnsi" w:cstheme="minorBidi"/>
          <w:lang w:val="en-AU"/>
        </w:rPr>
        <w:t>C</w:t>
      </w:r>
      <w:r w:rsidR="001507CA" w:rsidRPr="66807981">
        <w:rPr>
          <w:rFonts w:asciiTheme="minorHAnsi" w:hAnsiTheme="minorHAnsi" w:cstheme="minorBidi"/>
          <w:lang w:val="en-AU"/>
        </w:rPr>
        <w:t>linic at St Vincent's Hospital in Sydney</w:t>
      </w:r>
      <w:r w:rsidR="001E3C65" w:rsidRPr="66807981">
        <w:rPr>
          <w:rFonts w:asciiTheme="minorHAnsi" w:hAnsiTheme="minorHAnsi" w:cstheme="minorBidi"/>
          <w:lang w:val="en-AU"/>
        </w:rPr>
        <w:t xml:space="preserve">, who stated that </w:t>
      </w:r>
      <w:proofErr w:type="gramStart"/>
      <w:r w:rsidR="001E3C65" w:rsidRPr="66807981">
        <w:rPr>
          <w:rFonts w:asciiTheme="minorHAnsi" w:hAnsiTheme="minorHAnsi" w:cstheme="minorBidi"/>
          <w:lang w:val="en-AU"/>
        </w:rPr>
        <w:t>the majority of</w:t>
      </w:r>
      <w:proofErr w:type="gramEnd"/>
      <w:r w:rsidR="001E3C65" w:rsidRPr="66807981">
        <w:rPr>
          <w:rFonts w:asciiTheme="minorHAnsi" w:hAnsiTheme="minorHAnsi" w:cstheme="minorBidi"/>
          <w:lang w:val="en-AU"/>
        </w:rPr>
        <w:t xml:space="preserve"> their patients</w:t>
      </w:r>
      <w:r w:rsidR="00C43030" w:rsidRPr="66807981">
        <w:rPr>
          <w:rFonts w:asciiTheme="minorHAnsi" w:hAnsiTheme="minorHAnsi" w:cstheme="minorBidi"/>
          <w:lang w:val="en-AU"/>
        </w:rPr>
        <w:t xml:space="preserve"> contracted the Omicron strain and were vaccinated.</w:t>
      </w:r>
      <w:r w:rsidR="00BC7A28" w:rsidRPr="66807981">
        <w:rPr>
          <w:rFonts w:asciiTheme="minorHAnsi" w:hAnsiTheme="minorHAnsi" w:cstheme="minorBidi"/>
          <w:lang w:val="en-AU"/>
        </w:rPr>
        <w:t xml:space="preserve"> This mirrors international research </w:t>
      </w:r>
      <w:r w:rsidR="00B85F2B" w:rsidRPr="66807981">
        <w:rPr>
          <w:rFonts w:asciiTheme="minorHAnsi" w:hAnsiTheme="minorHAnsi" w:cstheme="minorBidi"/>
          <w:lang w:val="en-AU"/>
        </w:rPr>
        <w:t xml:space="preserve">that showed those who were triple vaccinated and infected with the Omicron strain had a Long </w:t>
      </w:r>
      <w:r w:rsidR="00F9793D">
        <w:rPr>
          <w:rFonts w:asciiTheme="minorHAnsi" w:hAnsiTheme="minorHAnsi" w:cstheme="minorBidi"/>
          <w:lang w:val="en-AU"/>
        </w:rPr>
        <w:t>COVID</w:t>
      </w:r>
      <w:r w:rsidR="00B85F2B" w:rsidRPr="66807981">
        <w:rPr>
          <w:rFonts w:asciiTheme="minorHAnsi" w:hAnsiTheme="minorHAnsi" w:cstheme="minorBidi"/>
          <w:lang w:val="en-AU"/>
        </w:rPr>
        <w:t xml:space="preserve"> rate of 5%.</w:t>
      </w:r>
      <w:r w:rsidR="00C43030" w:rsidRPr="66807981">
        <w:rPr>
          <w:rStyle w:val="FootnoteReference"/>
          <w:rFonts w:asciiTheme="minorHAnsi" w:hAnsiTheme="minorHAnsi" w:cstheme="minorBidi"/>
          <w:lang w:val="en-AU"/>
        </w:rPr>
        <w:footnoteReference w:id="18"/>
      </w:r>
      <w:r w:rsidR="00952B61" w:rsidRPr="66807981">
        <w:rPr>
          <w:rFonts w:asciiTheme="minorHAnsi" w:hAnsiTheme="minorHAnsi" w:cstheme="minorBidi"/>
          <w:lang w:val="en-AU"/>
        </w:rPr>
        <w:t xml:space="preserve"> </w:t>
      </w:r>
    </w:p>
    <w:p w14:paraId="4B5C2D78" w14:textId="5295DD03" w:rsidR="00B154F7" w:rsidRPr="00C65D3E" w:rsidRDefault="00B154F7" w:rsidP="00B95C54">
      <w:pPr>
        <w:pStyle w:val="ListParagraph"/>
        <w:numPr>
          <w:ilvl w:val="0"/>
          <w:numId w:val="9"/>
        </w:numPr>
        <w:rPr>
          <w:rFonts w:asciiTheme="minorHAnsi" w:hAnsiTheme="minorHAnsi" w:cstheme="minorHAnsi"/>
          <w:lang w:val="en-AU"/>
        </w:rPr>
      </w:pPr>
      <w:r>
        <w:rPr>
          <w:rFonts w:asciiTheme="minorHAnsi" w:hAnsiTheme="minorHAnsi" w:cstheme="minorHAnsi"/>
          <w:lang w:val="en-AU"/>
        </w:rPr>
        <w:t xml:space="preserve">Similarly, data analysis from almost 300 respondents in </w:t>
      </w:r>
      <w:r w:rsidR="00061F0D">
        <w:rPr>
          <w:rFonts w:asciiTheme="minorHAnsi" w:hAnsiTheme="minorHAnsi" w:cstheme="minorHAnsi"/>
          <w:lang w:val="en-AU"/>
        </w:rPr>
        <w:t>the ‘</w:t>
      </w:r>
      <w:r w:rsidR="00061F0D" w:rsidRPr="00061F0D">
        <w:rPr>
          <w:rFonts w:asciiTheme="minorHAnsi" w:hAnsiTheme="minorHAnsi" w:cstheme="minorHAnsi"/>
          <w:lang w:val="en-AU"/>
        </w:rPr>
        <w:t xml:space="preserve">Australia Long </w:t>
      </w:r>
      <w:r w:rsidR="00F9793D">
        <w:rPr>
          <w:rFonts w:asciiTheme="minorHAnsi" w:hAnsiTheme="minorHAnsi" w:cstheme="minorHAnsi"/>
          <w:lang w:val="en-AU"/>
        </w:rPr>
        <w:t>COVID</w:t>
      </w:r>
      <w:r w:rsidR="00061F0D" w:rsidRPr="00061F0D">
        <w:rPr>
          <w:rFonts w:asciiTheme="minorHAnsi" w:hAnsiTheme="minorHAnsi" w:cstheme="minorHAnsi"/>
          <w:lang w:val="en-AU"/>
        </w:rPr>
        <w:t xml:space="preserve"> Community Facebook </w:t>
      </w:r>
      <w:r w:rsidR="00061F0D">
        <w:rPr>
          <w:rFonts w:asciiTheme="minorHAnsi" w:hAnsiTheme="minorHAnsi" w:cstheme="minorHAnsi"/>
          <w:lang w:val="en-AU"/>
        </w:rPr>
        <w:t>G</w:t>
      </w:r>
      <w:r w:rsidR="00061F0D" w:rsidRPr="00061F0D">
        <w:rPr>
          <w:rFonts w:asciiTheme="minorHAnsi" w:hAnsiTheme="minorHAnsi" w:cstheme="minorHAnsi"/>
          <w:lang w:val="en-AU"/>
        </w:rPr>
        <w:t>roup</w:t>
      </w:r>
      <w:r w:rsidR="00061F0D">
        <w:rPr>
          <w:rFonts w:asciiTheme="minorHAnsi" w:hAnsiTheme="minorHAnsi" w:cstheme="minorHAnsi"/>
          <w:lang w:val="en-AU"/>
        </w:rPr>
        <w:t xml:space="preserve">’ </w:t>
      </w:r>
      <w:r w:rsidR="00AC1E79">
        <w:rPr>
          <w:rFonts w:asciiTheme="minorHAnsi" w:hAnsiTheme="minorHAnsi" w:cstheme="minorHAnsi"/>
          <w:lang w:val="en-AU"/>
        </w:rPr>
        <w:t xml:space="preserve">revealed that the vast majority were double vaccinated and infected with the Omicron strain before acquiring Long </w:t>
      </w:r>
      <w:r w:rsidR="00F9793D">
        <w:rPr>
          <w:rFonts w:asciiTheme="minorHAnsi" w:hAnsiTheme="minorHAnsi" w:cstheme="minorHAnsi"/>
          <w:lang w:val="en-AU"/>
        </w:rPr>
        <w:t>COVID</w:t>
      </w:r>
      <w:r w:rsidR="00AC1E79">
        <w:rPr>
          <w:rFonts w:asciiTheme="minorHAnsi" w:hAnsiTheme="minorHAnsi" w:cstheme="minorHAnsi"/>
          <w:lang w:val="en-AU"/>
        </w:rPr>
        <w:t>.</w:t>
      </w:r>
      <w:r w:rsidR="00AC1E79">
        <w:rPr>
          <w:rStyle w:val="FootnoteReference"/>
          <w:rFonts w:asciiTheme="minorHAnsi" w:hAnsiTheme="minorHAnsi" w:cstheme="minorHAnsi"/>
          <w:lang w:val="en-AU"/>
        </w:rPr>
        <w:footnoteReference w:id="19"/>
      </w:r>
    </w:p>
    <w:p w14:paraId="20E5B515" w14:textId="77777777" w:rsidR="00A23227" w:rsidRDefault="00A23227" w:rsidP="0020048B">
      <w:pPr>
        <w:rPr>
          <w:rFonts w:asciiTheme="minorHAnsi" w:hAnsiTheme="minorHAnsi" w:cstheme="minorHAnsi"/>
          <w:b/>
          <w:bCs/>
          <w:lang w:val="en-AU"/>
        </w:rPr>
      </w:pPr>
    </w:p>
    <w:p w14:paraId="701D95C7" w14:textId="45BF0D0A" w:rsidR="00A23227" w:rsidRDefault="001B5CF1" w:rsidP="0020048B">
      <w:pPr>
        <w:rPr>
          <w:rFonts w:asciiTheme="minorHAnsi" w:hAnsiTheme="minorHAnsi" w:cstheme="minorHAnsi"/>
          <w:b/>
          <w:bCs/>
          <w:lang w:val="en-AU"/>
        </w:rPr>
      </w:pPr>
      <w:r w:rsidRPr="0020048B">
        <w:rPr>
          <w:rFonts w:asciiTheme="minorHAnsi" w:hAnsiTheme="minorHAnsi" w:cstheme="minorHAnsi"/>
          <w:b/>
          <w:bCs/>
          <w:lang w:val="en-AU"/>
        </w:rPr>
        <w:t xml:space="preserve">Downplaying of Long </w:t>
      </w:r>
      <w:r w:rsidR="00F9793D">
        <w:rPr>
          <w:rFonts w:asciiTheme="minorHAnsi" w:hAnsiTheme="minorHAnsi" w:cstheme="minorHAnsi"/>
          <w:b/>
          <w:bCs/>
          <w:lang w:val="en-AU"/>
        </w:rPr>
        <w:t>COVID</w:t>
      </w:r>
      <w:r w:rsidR="00DB1FCD">
        <w:rPr>
          <w:rFonts w:asciiTheme="minorHAnsi" w:hAnsiTheme="minorHAnsi" w:cstheme="minorHAnsi"/>
          <w:b/>
          <w:bCs/>
          <w:lang w:val="en-AU"/>
        </w:rPr>
        <w:t xml:space="preserve"> </w:t>
      </w:r>
      <w:r w:rsidR="00D83DCF">
        <w:rPr>
          <w:rFonts w:asciiTheme="minorHAnsi" w:hAnsiTheme="minorHAnsi" w:cstheme="minorHAnsi"/>
          <w:b/>
          <w:bCs/>
          <w:lang w:val="en-AU"/>
        </w:rPr>
        <w:t xml:space="preserve">by CMO </w:t>
      </w:r>
      <w:r w:rsidR="00DB1FCD">
        <w:rPr>
          <w:rFonts w:asciiTheme="minorHAnsi" w:hAnsiTheme="minorHAnsi" w:cstheme="minorHAnsi"/>
          <w:b/>
          <w:bCs/>
          <w:lang w:val="en-AU"/>
        </w:rPr>
        <w:t>and implications for public health response</w:t>
      </w:r>
      <w:r w:rsidRPr="0020048B">
        <w:rPr>
          <w:rFonts w:asciiTheme="minorHAnsi" w:hAnsiTheme="minorHAnsi" w:cstheme="minorHAnsi"/>
          <w:b/>
          <w:bCs/>
          <w:lang w:val="en-AU"/>
        </w:rPr>
        <w:t xml:space="preserve"> </w:t>
      </w:r>
    </w:p>
    <w:p w14:paraId="47A4060F" w14:textId="72DA4CDF" w:rsidR="002A51B2" w:rsidRDefault="00F347B6" w:rsidP="00B95C54">
      <w:pPr>
        <w:pStyle w:val="ListParagraph"/>
        <w:numPr>
          <w:ilvl w:val="0"/>
          <w:numId w:val="11"/>
        </w:numPr>
        <w:rPr>
          <w:rFonts w:asciiTheme="minorHAnsi" w:hAnsiTheme="minorHAnsi" w:cstheme="minorHAnsi"/>
          <w:lang w:val="en-AU"/>
        </w:rPr>
      </w:pPr>
      <w:r>
        <w:rPr>
          <w:rFonts w:asciiTheme="minorHAnsi" w:hAnsiTheme="minorHAnsi" w:cstheme="minorHAnsi"/>
          <w:lang w:val="en-AU"/>
        </w:rPr>
        <w:t xml:space="preserve">Despite </w:t>
      </w:r>
      <w:r w:rsidR="00BF167D">
        <w:rPr>
          <w:rFonts w:asciiTheme="minorHAnsi" w:hAnsiTheme="minorHAnsi" w:cstheme="minorHAnsi"/>
          <w:lang w:val="en-AU"/>
        </w:rPr>
        <w:t>the research findings described above</w:t>
      </w:r>
      <w:r w:rsidR="00B5538B">
        <w:rPr>
          <w:rFonts w:asciiTheme="minorHAnsi" w:hAnsiTheme="minorHAnsi" w:cstheme="minorHAnsi"/>
          <w:lang w:val="en-AU"/>
        </w:rPr>
        <w:t xml:space="preserve">, </w:t>
      </w:r>
      <w:r w:rsidR="00322A9C">
        <w:rPr>
          <w:rFonts w:asciiTheme="minorHAnsi" w:hAnsiTheme="minorHAnsi" w:cstheme="minorHAnsi"/>
          <w:lang w:val="en-AU"/>
        </w:rPr>
        <w:t>in a press conference f</w:t>
      </w:r>
      <w:r w:rsidR="006B6687">
        <w:rPr>
          <w:rFonts w:asciiTheme="minorHAnsi" w:hAnsiTheme="minorHAnsi" w:cstheme="minorHAnsi"/>
          <w:lang w:val="en-AU"/>
        </w:rPr>
        <w:t xml:space="preserve">ollowing the cessation of the </w:t>
      </w:r>
      <w:r w:rsidR="00717CBD">
        <w:rPr>
          <w:rFonts w:asciiTheme="minorHAnsi" w:hAnsiTheme="minorHAnsi" w:cstheme="minorHAnsi"/>
          <w:lang w:val="en-AU"/>
        </w:rPr>
        <w:t>mandatory national isolation requirements on 14 October</w:t>
      </w:r>
      <w:r w:rsidR="00BF167D">
        <w:rPr>
          <w:rFonts w:asciiTheme="minorHAnsi" w:hAnsiTheme="minorHAnsi" w:cstheme="minorHAnsi"/>
          <w:lang w:val="en-AU"/>
        </w:rPr>
        <w:t xml:space="preserve"> 2022</w:t>
      </w:r>
      <w:r w:rsidR="00717CBD">
        <w:rPr>
          <w:rFonts w:asciiTheme="minorHAnsi" w:hAnsiTheme="minorHAnsi" w:cstheme="minorHAnsi"/>
          <w:lang w:val="en-AU"/>
        </w:rPr>
        <w:t xml:space="preserve">, Chief Medical Officer </w:t>
      </w:r>
      <w:r w:rsidR="00D83DCF">
        <w:rPr>
          <w:rFonts w:asciiTheme="minorHAnsi" w:hAnsiTheme="minorHAnsi" w:cstheme="minorHAnsi"/>
          <w:lang w:val="en-AU"/>
        </w:rPr>
        <w:t xml:space="preserve">(CMO) </w:t>
      </w:r>
      <w:r w:rsidR="00717CBD">
        <w:rPr>
          <w:rFonts w:asciiTheme="minorHAnsi" w:hAnsiTheme="minorHAnsi" w:cstheme="minorHAnsi"/>
          <w:lang w:val="en-AU"/>
        </w:rPr>
        <w:t xml:space="preserve">Professor Paul Kelly </w:t>
      </w:r>
      <w:r w:rsidR="00981EA2">
        <w:rPr>
          <w:rFonts w:asciiTheme="minorHAnsi" w:hAnsiTheme="minorHAnsi" w:cstheme="minorHAnsi"/>
          <w:lang w:val="en-AU"/>
        </w:rPr>
        <w:t>expressed</w:t>
      </w:r>
      <w:r w:rsidR="00380F9B">
        <w:rPr>
          <w:rFonts w:asciiTheme="minorHAnsi" w:hAnsiTheme="minorHAnsi" w:cstheme="minorHAnsi"/>
          <w:lang w:val="en-AU"/>
        </w:rPr>
        <w:t xml:space="preserve"> a relative lack of concern on the matter</w:t>
      </w:r>
      <w:r w:rsidR="000D712A">
        <w:rPr>
          <w:rFonts w:asciiTheme="minorHAnsi" w:hAnsiTheme="minorHAnsi" w:cstheme="minorHAnsi"/>
          <w:lang w:val="en-AU"/>
        </w:rPr>
        <w:t>, stating:</w:t>
      </w:r>
      <w:r w:rsidR="00526F96">
        <w:rPr>
          <w:rFonts w:asciiTheme="minorHAnsi" w:hAnsiTheme="minorHAnsi" w:cstheme="minorHAnsi"/>
          <w:lang w:val="en-AU"/>
        </w:rPr>
        <w:br/>
      </w:r>
    </w:p>
    <w:p w14:paraId="27DF5F9E" w14:textId="40FF64D9" w:rsidR="00D83DCF" w:rsidRPr="000D712A" w:rsidRDefault="002A51B2" w:rsidP="002A51B2">
      <w:pPr>
        <w:pStyle w:val="ListParagraph"/>
        <w:numPr>
          <w:ilvl w:val="0"/>
          <w:numId w:val="0"/>
        </w:numPr>
        <w:ind w:left="720"/>
        <w:rPr>
          <w:rFonts w:asciiTheme="minorHAnsi" w:hAnsiTheme="minorHAnsi" w:cstheme="minorHAnsi"/>
          <w:lang w:val="en-AU"/>
        </w:rPr>
      </w:pPr>
      <w:r w:rsidRPr="002A51B2">
        <w:rPr>
          <w:rFonts w:asciiTheme="minorHAnsi" w:hAnsiTheme="minorHAnsi" w:cstheme="minorHAnsi"/>
          <w:i/>
          <w:iCs/>
          <w:lang w:val="en-AU"/>
        </w:rPr>
        <w:t xml:space="preserve">We know that the major risk factors for long </w:t>
      </w:r>
      <w:r w:rsidR="00F9793D">
        <w:rPr>
          <w:rFonts w:asciiTheme="minorHAnsi" w:hAnsiTheme="minorHAnsi" w:cstheme="minorHAnsi"/>
          <w:i/>
          <w:iCs/>
          <w:lang w:val="en-AU"/>
        </w:rPr>
        <w:t>COVID</w:t>
      </w:r>
      <w:r w:rsidRPr="002A51B2">
        <w:rPr>
          <w:rFonts w:asciiTheme="minorHAnsi" w:hAnsiTheme="minorHAnsi" w:cstheme="minorHAnsi"/>
          <w:i/>
          <w:iCs/>
          <w:lang w:val="en-AU"/>
        </w:rPr>
        <w:t xml:space="preserve"> are having had infection before vaccination, being unvaccinated, having severe illness and having other types of </w:t>
      </w:r>
      <w:r w:rsidR="00F9793D">
        <w:rPr>
          <w:rFonts w:asciiTheme="minorHAnsi" w:hAnsiTheme="minorHAnsi" w:cstheme="minorHAnsi"/>
          <w:i/>
          <w:iCs/>
          <w:lang w:val="en-AU"/>
        </w:rPr>
        <w:t>COVID</w:t>
      </w:r>
      <w:r w:rsidRPr="002A51B2">
        <w:rPr>
          <w:rFonts w:asciiTheme="minorHAnsi" w:hAnsiTheme="minorHAnsi" w:cstheme="minorHAnsi"/>
          <w:i/>
          <w:iCs/>
          <w:lang w:val="en-AU"/>
        </w:rPr>
        <w:t xml:space="preserve"> that were not Omicron.</w:t>
      </w:r>
      <w:r w:rsidR="000D712A">
        <w:rPr>
          <w:rStyle w:val="FootnoteReference"/>
          <w:rFonts w:asciiTheme="minorHAnsi" w:hAnsiTheme="minorHAnsi" w:cstheme="minorHAnsi"/>
          <w:i/>
          <w:iCs/>
          <w:lang w:val="en-AU"/>
        </w:rPr>
        <w:footnoteReference w:id="20"/>
      </w:r>
      <w:r w:rsidR="00526F96">
        <w:rPr>
          <w:rFonts w:asciiTheme="minorHAnsi" w:hAnsiTheme="minorHAnsi" w:cstheme="minorHAnsi"/>
          <w:i/>
          <w:iCs/>
          <w:lang w:val="en-AU"/>
        </w:rPr>
        <w:br/>
      </w:r>
    </w:p>
    <w:p w14:paraId="0D92FF6F" w14:textId="68F3EB9D" w:rsidR="005C73E0" w:rsidRDefault="00892867" w:rsidP="00D83DCF">
      <w:pPr>
        <w:pStyle w:val="ListParagraph"/>
        <w:numPr>
          <w:ilvl w:val="0"/>
          <w:numId w:val="0"/>
        </w:numPr>
        <w:ind w:left="360"/>
        <w:rPr>
          <w:rFonts w:asciiTheme="minorHAnsi" w:hAnsiTheme="minorHAnsi" w:cstheme="minorHAnsi"/>
          <w:lang w:val="en-AU"/>
        </w:rPr>
      </w:pPr>
      <w:r>
        <w:rPr>
          <w:rFonts w:asciiTheme="minorHAnsi" w:hAnsiTheme="minorHAnsi" w:cstheme="minorHAnsi"/>
          <w:lang w:val="en-AU"/>
        </w:rPr>
        <w:t xml:space="preserve">This followed comments in September </w:t>
      </w:r>
      <w:r w:rsidR="00377DF0">
        <w:rPr>
          <w:rFonts w:asciiTheme="minorHAnsi" w:hAnsiTheme="minorHAnsi" w:cstheme="minorHAnsi"/>
          <w:lang w:val="en-AU"/>
        </w:rPr>
        <w:t>that he did not expect</w:t>
      </w:r>
      <w:r w:rsidR="00D032E9">
        <w:rPr>
          <w:rFonts w:asciiTheme="minorHAnsi" w:hAnsiTheme="minorHAnsi" w:cstheme="minorHAnsi"/>
          <w:lang w:val="en-AU"/>
        </w:rPr>
        <w:t xml:space="preserve"> Long </w:t>
      </w:r>
      <w:r w:rsidR="00F9793D">
        <w:rPr>
          <w:rFonts w:asciiTheme="minorHAnsi" w:hAnsiTheme="minorHAnsi" w:cstheme="minorHAnsi"/>
          <w:lang w:val="en-AU"/>
        </w:rPr>
        <w:t>COVID</w:t>
      </w:r>
      <w:r w:rsidR="00D032E9">
        <w:rPr>
          <w:rFonts w:asciiTheme="minorHAnsi" w:hAnsiTheme="minorHAnsi" w:cstheme="minorHAnsi"/>
          <w:lang w:val="en-AU"/>
        </w:rPr>
        <w:t xml:space="preserve"> to impact Australia as severely as it had in other countries</w:t>
      </w:r>
      <w:r w:rsidR="00894364">
        <w:rPr>
          <w:rFonts w:asciiTheme="minorHAnsi" w:hAnsiTheme="minorHAnsi" w:cstheme="minorHAnsi"/>
          <w:lang w:val="en-AU"/>
        </w:rPr>
        <w:t>, although it is not clear what</w:t>
      </w:r>
      <w:r w:rsidR="00F12FF5">
        <w:rPr>
          <w:rFonts w:asciiTheme="minorHAnsi" w:hAnsiTheme="minorHAnsi" w:cstheme="minorHAnsi"/>
          <w:lang w:val="en-AU"/>
        </w:rPr>
        <w:t xml:space="preserve"> </w:t>
      </w:r>
      <w:r w:rsidR="00394021">
        <w:rPr>
          <w:rFonts w:asciiTheme="minorHAnsi" w:hAnsiTheme="minorHAnsi" w:cstheme="minorHAnsi"/>
          <w:lang w:val="en-AU"/>
        </w:rPr>
        <w:t>this statement was based upon</w:t>
      </w:r>
      <w:r w:rsidR="00F12FF5">
        <w:rPr>
          <w:rFonts w:asciiTheme="minorHAnsi" w:hAnsiTheme="minorHAnsi" w:cstheme="minorHAnsi"/>
          <w:lang w:val="en-AU"/>
        </w:rPr>
        <w:t>.</w:t>
      </w:r>
      <w:r w:rsidR="00D032E9">
        <w:rPr>
          <w:rStyle w:val="FootnoteReference"/>
          <w:rFonts w:asciiTheme="minorHAnsi" w:hAnsiTheme="minorHAnsi" w:cstheme="minorHAnsi"/>
          <w:lang w:val="en-AU"/>
        </w:rPr>
        <w:footnoteReference w:id="21"/>
      </w:r>
      <w:r w:rsidR="00D032E9">
        <w:rPr>
          <w:rFonts w:asciiTheme="minorHAnsi" w:hAnsiTheme="minorHAnsi" w:cstheme="minorHAnsi"/>
          <w:lang w:val="en-AU"/>
        </w:rPr>
        <w:br/>
      </w:r>
      <w:r w:rsidR="00D83DCF">
        <w:rPr>
          <w:rFonts w:asciiTheme="minorHAnsi" w:hAnsiTheme="minorHAnsi" w:cstheme="minorHAnsi"/>
          <w:lang w:val="en-AU"/>
        </w:rPr>
        <w:br/>
      </w:r>
      <w:r w:rsidR="00D205A2">
        <w:rPr>
          <w:rFonts w:asciiTheme="minorHAnsi" w:hAnsiTheme="minorHAnsi" w:cstheme="minorHAnsi"/>
          <w:lang w:val="en-AU"/>
        </w:rPr>
        <w:t>Professor</w:t>
      </w:r>
      <w:r w:rsidR="00440B21" w:rsidRPr="002A51B2">
        <w:rPr>
          <w:rFonts w:asciiTheme="minorHAnsi" w:hAnsiTheme="minorHAnsi" w:cstheme="minorHAnsi"/>
          <w:lang w:val="en-AU"/>
        </w:rPr>
        <w:t xml:space="preserve"> Faux</w:t>
      </w:r>
      <w:r w:rsidR="00D205A2">
        <w:rPr>
          <w:rFonts w:asciiTheme="minorHAnsi" w:hAnsiTheme="minorHAnsi" w:cstheme="minorHAnsi"/>
          <w:lang w:val="en-AU"/>
        </w:rPr>
        <w:t xml:space="preserve"> countered that these comments did not reflect the reality </w:t>
      </w:r>
      <w:r w:rsidR="005927D0">
        <w:rPr>
          <w:rFonts w:asciiTheme="minorHAnsi" w:hAnsiTheme="minorHAnsi" w:cstheme="minorHAnsi"/>
          <w:lang w:val="en-AU"/>
        </w:rPr>
        <w:t xml:space="preserve">of the patients presenting at his </w:t>
      </w:r>
      <w:r w:rsidR="000D712A">
        <w:rPr>
          <w:rFonts w:asciiTheme="minorHAnsi" w:hAnsiTheme="minorHAnsi" w:cstheme="minorHAnsi"/>
          <w:lang w:val="en-AU"/>
        </w:rPr>
        <w:t>clinic</w:t>
      </w:r>
      <w:r w:rsidR="009055DD">
        <w:rPr>
          <w:rFonts w:asciiTheme="minorHAnsi" w:hAnsiTheme="minorHAnsi" w:cstheme="minorHAnsi"/>
          <w:lang w:val="en-AU"/>
        </w:rPr>
        <w:t xml:space="preserve">, suggesting </w:t>
      </w:r>
      <w:r w:rsidR="00A86304">
        <w:rPr>
          <w:rFonts w:asciiTheme="minorHAnsi" w:hAnsiTheme="minorHAnsi" w:cstheme="minorHAnsi"/>
          <w:lang w:val="en-AU"/>
        </w:rPr>
        <w:t>Professor Kelly</w:t>
      </w:r>
      <w:r w:rsidR="00AE7EA6" w:rsidRPr="002A51B2">
        <w:rPr>
          <w:rFonts w:asciiTheme="minorHAnsi" w:hAnsiTheme="minorHAnsi" w:cstheme="minorHAnsi"/>
          <w:lang w:val="en-AU"/>
        </w:rPr>
        <w:t xml:space="preserve"> </w:t>
      </w:r>
      <w:r w:rsidR="009055DD">
        <w:rPr>
          <w:rFonts w:asciiTheme="minorHAnsi" w:hAnsiTheme="minorHAnsi" w:cstheme="minorHAnsi"/>
          <w:lang w:val="en-AU"/>
        </w:rPr>
        <w:t>was</w:t>
      </w:r>
      <w:r w:rsidR="00A86304">
        <w:rPr>
          <w:rFonts w:asciiTheme="minorHAnsi" w:hAnsiTheme="minorHAnsi" w:cstheme="minorHAnsi"/>
          <w:lang w:val="en-AU"/>
        </w:rPr>
        <w:t xml:space="preserve"> </w:t>
      </w:r>
      <w:r w:rsidR="00001BFD" w:rsidRPr="002A51B2">
        <w:rPr>
          <w:rFonts w:asciiTheme="minorHAnsi" w:hAnsiTheme="minorHAnsi" w:cstheme="minorHAnsi"/>
          <w:lang w:val="en-AU"/>
        </w:rPr>
        <w:t>purposely downplay</w:t>
      </w:r>
      <w:r w:rsidR="009055DD">
        <w:rPr>
          <w:rFonts w:asciiTheme="minorHAnsi" w:hAnsiTheme="minorHAnsi" w:cstheme="minorHAnsi"/>
          <w:lang w:val="en-AU"/>
        </w:rPr>
        <w:t>ing</w:t>
      </w:r>
      <w:r w:rsidR="00001BFD" w:rsidRPr="002A51B2">
        <w:rPr>
          <w:rFonts w:asciiTheme="minorHAnsi" w:hAnsiTheme="minorHAnsi" w:cstheme="minorHAnsi"/>
          <w:lang w:val="en-AU"/>
        </w:rPr>
        <w:t xml:space="preserve"> the </w:t>
      </w:r>
      <w:r w:rsidR="00A86304">
        <w:rPr>
          <w:rFonts w:asciiTheme="minorHAnsi" w:hAnsiTheme="minorHAnsi" w:cstheme="minorHAnsi"/>
          <w:lang w:val="en-AU"/>
        </w:rPr>
        <w:t xml:space="preserve">current </w:t>
      </w:r>
      <w:r w:rsidR="009055DD">
        <w:rPr>
          <w:rFonts w:asciiTheme="minorHAnsi" w:hAnsiTheme="minorHAnsi" w:cstheme="minorHAnsi"/>
          <w:lang w:val="en-AU"/>
        </w:rPr>
        <w:t>extent</w:t>
      </w:r>
      <w:r w:rsidR="00001BFD" w:rsidRPr="002A51B2">
        <w:rPr>
          <w:rFonts w:asciiTheme="minorHAnsi" w:hAnsiTheme="minorHAnsi" w:cstheme="minorHAnsi"/>
          <w:lang w:val="en-AU"/>
        </w:rPr>
        <w:t xml:space="preserve"> of Long </w:t>
      </w:r>
      <w:r w:rsidR="00F9793D">
        <w:rPr>
          <w:rFonts w:asciiTheme="minorHAnsi" w:hAnsiTheme="minorHAnsi" w:cstheme="minorHAnsi"/>
          <w:lang w:val="en-AU"/>
        </w:rPr>
        <w:t>COVID</w:t>
      </w:r>
      <w:r w:rsidR="00001BFD" w:rsidRPr="002A51B2">
        <w:rPr>
          <w:rFonts w:asciiTheme="minorHAnsi" w:hAnsiTheme="minorHAnsi" w:cstheme="minorHAnsi"/>
          <w:lang w:val="en-AU"/>
        </w:rPr>
        <w:t xml:space="preserve"> in Australia</w:t>
      </w:r>
      <w:r w:rsidR="00EC4CF8" w:rsidRPr="002A51B2">
        <w:rPr>
          <w:rFonts w:asciiTheme="minorHAnsi" w:hAnsiTheme="minorHAnsi" w:cstheme="minorHAnsi"/>
          <w:lang w:val="en-AU"/>
        </w:rPr>
        <w:t xml:space="preserve"> in order to justify </w:t>
      </w:r>
      <w:r w:rsidR="009055DD">
        <w:rPr>
          <w:rFonts w:asciiTheme="minorHAnsi" w:hAnsiTheme="minorHAnsi" w:cstheme="minorHAnsi"/>
          <w:lang w:val="en-AU"/>
        </w:rPr>
        <w:t>the changes to public health</w:t>
      </w:r>
      <w:r w:rsidR="00E86CEE">
        <w:rPr>
          <w:rFonts w:asciiTheme="minorHAnsi" w:hAnsiTheme="minorHAnsi" w:cstheme="minorHAnsi"/>
          <w:lang w:val="en-AU"/>
        </w:rPr>
        <w:t xml:space="preserve"> measures</w:t>
      </w:r>
      <w:r w:rsidR="00EC4CF8" w:rsidRPr="002A51B2">
        <w:rPr>
          <w:rFonts w:asciiTheme="minorHAnsi" w:hAnsiTheme="minorHAnsi" w:cstheme="minorHAnsi"/>
          <w:lang w:val="en-AU"/>
        </w:rPr>
        <w:t>, describing it as akin to “pulling the sheet over your head”.</w:t>
      </w:r>
      <w:r w:rsidR="001510B8">
        <w:rPr>
          <w:rStyle w:val="FootnoteReference"/>
          <w:rFonts w:asciiTheme="minorHAnsi" w:hAnsiTheme="minorHAnsi" w:cstheme="minorHAnsi"/>
          <w:lang w:val="en-AU"/>
        </w:rPr>
        <w:footnoteReference w:id="22"/>
      </w:r>
    </w:p>
    <w:p w14:paraId="35A149FD" w14:textId="2FBBD0A3" w:rsidR="0053316C" w:rsidRDefault="007B286D" w:rsidP="007B286D">
      <w:pPr>
        <w:pStyle w:val="ListParagraph"/>
        <w:numPr>
          <w:ilvl w:val="0"/>
          <w:numId w:val="0"/>
        </w:numPr>
        <w:ind w:left="360"/>
        <w:rPr>
          <w:rFonts w:asciiTheme="minorHAnsi" w:hAnsiTheme="minorHAnsi" w:cstheme="minorHAnsi"/>
          <w:lang w:val="en-AU"/>
        </w:rPr>
      </w:pPr>
      <w:r>
        <w:rPr>
          <w:rFonts w:asciiTheme="minorHAnsi" w:hAnsiTheme="minorHAnsi" w:cstheme="minorHAnsi"/>
          <w:lang w:val="en-AU"/>
        </w:rPr>
        <w:br/>
      </w:r>
      <w:r w:rsidR="00B325AB">
        <w:rPr>
          <w:rFonts w:asciiTheme="minorHAnsi" w:hAnsiTheme="minorHAnsi" w:cstheme="minorHAnsi"/>
          <w:lang w:val="en-AU"/>
        </w:rPr>
        <w:t xml:space="preserve">Dr </w:t>
      </w:r>
      <w:r w:rsidR="000505D9">
        <w:rPr>
          <w:rFonts w:asciiTheme="minorHAnsi" w:hAnsiTheme="minorHAnsi" w:cstheme="minorHAnsi"/>
          <w:lang w:val="en-AU"/>
        </w:rPr>
        <w:t xml:space="preserve">Pippa Yeoman, a sufferer of Long </w:t>
      </w:r>
      <w:r w:rsidR="00F9793D">
        <w:rPr>
          <w:rFonts w:asciiTheme="minorHAnsi" w:hAnsiTheme="minorHAnsi" w:cstheme="minorHAnsi"/>
          <w:lang w:val="en-AU"/>
        </w:rPr>
        <w:t>COVID</w:t>
      </w:r>
      <w:r w:rsidR="000505D9">
        <w:rPr>
          <w:rFonts w:asciiTheme="minorHAnsi" w:hAnsiTheme="minorHAnsi" w:cstheme="minorHAnsi"/>
          <w:lang w:val="en-AU"/>
        </w:rPr>
        <w:t xml:space="preserve"> and member of the </w:t>
      </w:r>
      <w:proofErr w:type="gramStart"/>
      <w:r w:rsidR="000505D9">
        <w:rPr>
          <w:rFonts w:asciiTheme="minorHAnsi" w:hAnsiTheme="minorHAnsi" w:cstheme="minorHAnsi"/>
          <w:lang w:val="en-AU"/>
        </w:rPr>
        <w:t>aforementioned Facebook</w:t>
      </w:r>
      <w:proofErr w:type="gramEnd"/>
      <w:r w:rsidR="000505D9">
        <w:rPr>
          <w:rFonts w:asciiTheme="minorHAnsi" w:hAnsiTheme="minorHAnsi" w:cstheme="minorHAnsi"/>
          <w:lang w:val="en-AU"/>
        </w:rPr>
        <w:t xml:space="preserve"> Group</w:t>
      </w:r>
      <w:r w:rsidR="0053316C">
        <w:rPr>
          <w:rFonts w:asciiTheme="minorHAnsi" w:hAnsiTheme="minorHAnsi" w:cstheme="minorHAnsi"/>
          <w:lang w:val="en-AU"/>
        </w:rPr>
        <w:t>, echoed these concerns:</w:t>
      </w:r>
    </w:p>
    <w:p w14:paraId="7DFC2DB1" w14:textId="77777777" w:rsidR="0098659D" w:rsidRDefault="007B286D" w:rsidP="007B286D">
      <w:pPr>
        <w:ind w:left="720"/>
        <w:rPr>
          <w:rFonts w:asciiTheme="minorHAnsi" w:hAnsiTheme="minorHAnsi" w:cstheme="minorHAnsi"/>
          <w:i/>
          <w:iCs/>
          <w:lang w:val="en-AU"/>
        </w:rPr>
      </w:pPr>
      <w:r w:rsidRPr="007B286D">
        <w:rPr>
          <w:rFonts w:asciiTheme="minorHAnsi" w:hAnsiTheme="minorHAnsi" w:cstheme="minorHAnsi"/>
          <w:i/>
          <w:iCs/>
          <w:lang w:val="en-AU"/>
        </w:rPr>
        <w:t>He has no data on which to base those claims… He's making a political statement about how clever they were to close the borders and get everybody vaccinated and saying that means we will be different [to other countries]. If you make a claim, you need to be able to back it up.</w:t>
      </w:r>
      <w:r w:rsidRPr="007B286D">
        <w:rPr>
          <w:rStyle w:val="FootnoteReference"/>
          <w:rFonts w:asciiTheme="minorHAnsi" w:hAnsiTheme="minorHAnsi" w:cstheme="minorHAnsi"/>
          <w:i/>
          <w:iCs/>
          <w:lang w:val="en-AU"/>
        </w:rPr>
        <w:footnoteReference w:id="23"/>
      </w:r>
    </w:p>
    <w:p w14:paraId="3066B587" w14:textId="0FB7C4E3" w:rsidR="00064F3C" w:rsidRPr="00064F3C" w:rsidRDefault="000D0BED" w:rsidP="00B95C54">
      <w:pPr>
        <w:pStyle w:val="ListParagraph"/>
        <w:numPr>
          <w:ilvl w:val="0"/>
          <w:numId w:val="11"/>
        </w:numPr>
        <w:rPr>
          <w:rFonts w:asciiTheme="minorHAnsi" w:hAnsiTheme="minorHAnsi" w:cstheme="minorHAnsi"/>
          <w:i/>
          <w:iCs/>
          <w:lang w:val="en-AU"/>
        </w:rPr>
      </w:pPr>
      <w:r>
        <w:rPr>
          <w:rFonts w:asciiTheme="minorHAnsi" w:hAnsiTheme="minorHAnsi" w:cstheme="minorHAnsi"/>
          <w:lang w:val="en-AU"/>
        </w:rPr>
        <w:t>The failure of the CMO to acknowledge</w:t>
      </w:r>
      <w:r w:rsidR="00171442">
        <w:rPr>
          <w:rFonts w:asciiTheme="minorHAnsi" w:hAnsiTheme="minorHAnsi" w:cstheme="minorHAnsi"/>
          <w:lang w:val="en-AU"/>
        </w:rPr>
        <w:t xml:space="preserve"> </w:t>
      </w:r>
      <w:r w:rsidR="000F3B07">
        <w:rPr>
          <w:rFonts w:asciiTheme="minorHAnsi" w:hAnsiTheme="minorHAnsi" w:cstheme="minorHAnsi"/>
          <w:lang w:val="en-AU"/>
        </w:rPr>
        <w:t>the</w:t>
      </w:r>
      <w:r w:rsidR="00171442">
        <w:rPr>
          <w:rFonts w:asciiTheme="minorHAnsi" w:hAnsiTheme="minorHAnsi" w:cstheme="minorHAnsi"/>
          <w:lang w:val="en-AU"/>
        </w:rPr>
        <w:t xml:space="preserve"> reality </w:t>
      </w:r>
      <w:r w:rsidR="000F3B07">
        <w:rPr>
          <w:rFonts w:asciiTheme="minorHAnsi" w:hAnsiTheme="minorHAnsi" w:cstheme="minorHAnsi"/>
          <w:lang w:val="en-AU"/>
        </w:rPr>
        <w:t xml:space="preserve">of Long </w:t>
      </w:r>
      <w:r w:rsidR="00F9793D">
        <w:rPr>
          <w:rFonts w:asciiTheme="minorHAnsi" w:hAnsiTheme="minorHAnsi" w:cstheme="minorHAnsi"/>
          <w:lang w:val="en-AU"/>
        </w:rPr>
        <w:t>COVID</w:t>
      </w:r>
      <w:r w:rsidR="000F3B07">
        <w:rPr>
          <w:rFonts w:asciiTheme="minorHAnsi" w:hAnsiTheme="minorHAnsi" w:cstheme="minorHAnsi"/>
          <w:lang w:val="en-AU"/>
        </w:rPr>
        <w:t xml:space="preserve"> in Australia </w:t>
      </w:r>
      <w:r w:rsidR="00171442">
        <w:rPr>
          <w:rFonts w:asciiTheme="minorHAnsi" w:hAnsiTheme="minorHAnsi" w:cstheme="minorHAnsi"/>
          <w:lang w:val="en-AU"/>
        </w:rPr>
        <w:t xml:space="preserve">has concerning implications, particularly for people with disability </w:t>
      </w:r>
      <w:r w:rsidR="000F3B07">
        <w:rPr>
          <w:rFonts w:asciiTheme="minorHAnsi" w:hAnsiTheme="minorHAnsi" w:cstheme="minorHAnsi"/>
          <w:lang w:val="en-AU"/>
        </w:rPr>
        <w:t>who</w:t>
      </w:r>
      <w:r w:rsidR="00171442">
        <w:rPr>
          <w:rFonts w:asciiTheme="minorHAnsi" w:hAnsiTheme="minorHAnsi" w:cstheme="minorHAnsi"/>
          <w:lang w:val="en-AU"/>
        </w:rPr>
        <w:t xml:space="preserve"> are already vulnerable. </w:t>
      </w:r>
      <w:r w:rsidR="00A83916">
        <w:rPr>
          <w:rFonts w:asciiTheme="minorHAnsi" w:hAnsiTheme="minorHAnsi" w:cstheme="minorHAnsi"/>
          <w:lang w:val="en-AU"/>
        </w:rPr>
        <w:t>With the removal of mask mandates</w:t>
      </w:r>
      <w:r w:rsidR="008955B6">
        <w:rPr>
          <w:rFonts w:asciiTheme="minorHAnsi" w:hAnsiTheme="minorHAnsi" w:cstheme="minorHAnsi"/>
          <w:lang w:val="en-AU"/>
        </w:rPr>
        <w:t xml:space="preserve">, social distancing requirements, and mandatory quarantine, the limited protection provided by vaccines remains the only line of defence against Long </w:t>
      </w:r>
      <w:r w:rsidR="00F9793D">
        <w:rPr>
          <w:rFonts w:asciiTheme="minorHAnsi" w:hAnsiTheme="minorHAnsi" w:cstheme="minorHAnsi"/>
          <w:lang w:val="en-AU"/>
        </w:rPr>
        <w:t>COVID</w:t>
      </w:r>
      <w:r w:rsidR="00CB0370">
        <w:rPr>
          <w:rFonts w:asciiTheme="minorHAnsi" w:hAnsiTheme="minorHAnsi" w:cstheme="minorHAnsi"/>
          <w:lang w:val="en-AU"/>
        </w:rPr>
        <w:t xml:space="preserve">, leaving Australians </w:t>
      </w:r>
      <w:r w:rsidR="0099519F">
        <w:rPr>
          <w:rFonts w:asciiTheme="minorHAnsi" w:hAnsiTheme="minorHAnsi" w:cstheme="minorHAnsi"/>
          <w:lang w:val="en-AU"/>
        </w:rPr>
        <w:t>extremely</w:t>
      </w:r>
      <w:r w:rsidR="00392471">
        <w:rPr>
          <w:rFonts w:asciiTheme="minorHAnsi" w:hAnsiTheme="minorHAnsi" w:cstheme="minorHAnsi"/>
          <w:lang w:val="en-AU"/>
        </w:rPr>
        <w:t xml:space="preserve"> vulnerable.</w:t>
      </w:r>
      <w:r w:rsidR="007B2874">
        <w:rPr>
          <w:rFonts w:asciiTheme="minorHAnsi" w:hAnsiTheme="minorHAnsi" w:cstheme="minorHAnsi"/>
          <w:lang w:val="en-AU"/>
        </w:rPr>
        <w:t xml:space="preserve"> </w:t>
      </w:r>
      <w:r w:rsidR="00A50F7E">
        <w:rPr>
          <w:rFonts w:asciiTheme="minorHAnsi" w:hAnsiTheme="minorHAnsi" w:cstheme="minorHAnsi"/>
          <w:lang w:val="en-AU"/>
        </w:rPr>
        <w:t>Dr Yeoman</w:t>
      </w:r>
      <w:r w:rsidR="007B2874">
        <w:rPr>
          <w:rFonts w:asciiTheme="minorHAnsi" w:hAnsiTheme="minorHAnsi" w:cstheme="minorHAnsi"/>
          <w:lang w:val="en-AU"/>
        </w:rPr>
        <w:t xml:space="preserve"> accused </w:t>
      </w:r>
      <w:r w:rsidR="00F721DB">
        <w:rPr>
          <w:rFonts w:asciiTheme="minorHAnsi" w:hAnsiTheme="minorHAnsi" w:cstheme="minorHAnsi"/>
          <w:lang w:val="en-AU"/>
        </w:rPr>
        <w:t xml:space="preserve">the government of failing to adequately inform </w:t>
      </w:r>
      <w:r w:rsidR="00453545">
        <w:rPr>
          <w:rFonts w:asciiTheme="minorHAnsi" w:hAnsiTheme="minorHAnsi" w:cstheme="minorHAnsi"/>
          <w:lang w:val="en-AU"/>
        </w:rPr>
        <w:t>Australians of the true level of risk, stating:</w:t>
      </w:r>
    </w:p>
    <w:p w14:paraId="7661578C" w14:textId="28A995BA" w:rsidR="007E5C4F" w:rsidRDefault="00064F3C" w:rsidP="00973D00">
      <w:pPr>
        <w:pStyle w:val="ListParagraph"/>
        <w:numPr>
          <w:ilvl w:val="0"/>
          <w:numId w:val="0"/>
        </w:numPr>
        <w:ind w:left="720"/>
        <w:rPr>
          <w:rFonts w:asciiTheme="minorHAnsi" w:hAnsiTheme="minorHAnsi" w:cstheme="minorHAnsi"/>
          <w:i/>
          <w:iCs/>
          <w:lang w:val="en-AU"/>
        </w:rPr>
      </w:pPr>
      <w:r>
        <w:rPr>
          <w:rFonts w:asciiTheme="minorHAnsi" w:hAnsiTheme="minorHAnsi" w:cstheme="minorHAnsi"/>
          <w:lang w:val="en-AU"/>
        </w:rPr>
        <w:br/>
      </w:r>
      <w:r w:rsidR="00973D00" w:rsidRPr="00973D00">
        <w:rPr>
          <w:rFonts w:asciiTheme="minorHAnsi" w:hAnsiTheme="minorHAnsi" w:cstheme="minorHAnsi"/>
          <w:i/>
          <w:iCs/>
          <w:lang w:val="en-AU"/>
        </w:rPr>
        <w:t xml:space="preserve">A sensible person who trusts the government thinks that long </w:t>
      </w:r>
      <w:r w:rsidR="00F9793D">
        <w:rPr>
          <w:rFonts w:asciiTheme="minorHAnsi" w:hAnsiTheme="minorHAnsi" w:cstheme="minorHAnsi"/>
          <w:i/>
          <w:iCs/>
          <w:lang w:val="en-AU"/>
        </w:rPr>
        <w:t>COVID</w:t>
      </w:r>
      <w:r w:rsidR="00973D00" w:rsidRPr="00973D00">
        <w:rPr>
          <w:rFonts w:asciiTheme="minorHAnsi" w:hAnsiTheme="minorHAnsi" w:cstheme="minorHAnsi"/>
          <w:i/>
          <w:iCs/>
          <w:lang w:val="en-AU"/>
        </w:rPr>
        <w:t xml:space="preserve"> is not within the </w:t>
      </w:r>
      <w:r w:rsidR="00973D00" w:rsidRPr="00973D00">
        <w:rPr>
          <w:rFonts w:asciiTheme="minorHAnsi" w:hAnsiTheme="minorHAnsi" w:cstheme="minorHAnsi"/>
          <w:i/>
          <w:iCs/>
          <w:lang w:val="en-AU"/>
        </w:rPr>
        <w:lastRenderedPageBreak/>
        <w:t>realm of possibility for them</w:t>
      </w:r>
      <w:r w:rsidR="00973D00">
        <w:rPr>
          <w:rFonts w:asciiTheme="minorHAnsi" w:hAnsiTheme="minorHAnsi" w:cstheme="minorHAnsi"/>
          <w:i/>
          <w:iCs/>
          <w:lang w:val="en-AU"/>
        </w:rPr>
        <w:t xml:space="preserve">… </w:t>
      </w:r>
      <w:r w:rsidR="00973D00" w:rsidRPr="00973D00">
        <w:rPr>
          <w:rFonts w:asciiTheme="minorHAnsi" w:hAnsiTheme="minorHAnsi" w:cstheme="minorHAnsi"/>
          <w:i/>
          <w:iCs/>
          <w:lang w:val="en-AU"/>
        </w:rPr>
        <w:t xml:space="preserve">If I was a person who knew that if I got sick, I had a </w:t>
      </w:r>
      <w:r w:rsidR="00973D00">
        <w:rPr>
          <w:rFonts w:asciiTheme="minorHAnsi" w:hAnsiTheme="minorHAnsi" w:cstheme="minorHAnsi"/>
          <w:i/>
          <w:iCs/>
          <w:lang w:val="en-AU"/>
        </w:rPr>
        <w:t>five</w:t>
      </w:r>
      <w:r w:rsidR="00973D00" w:rsidRPr="00973D00">
        <w:rPr>
          <w:rFonts w:asciiTheme="minorHAnsi" w:hAnsiTheme="minorHAnsi" w:cstheme="minorHAnsi"/>
          <w:i/>
          <w:iCs/>
          <w:lang w:val="en-AU"/>
        </w:rPr>
        <w:t xml:space="preserve"> per cent chance of having something </w:t>
      </w:r>
      <w:proofErr w:type="gramStart"/>
      <w:r w:rsidR="00973D00" w:rsidRPr="00973D00">
        <w:rPr>
          <w:rFonts w:asciiTheme="minorHAnsi" w:hAnsiTheme="minorHAnsi" w:cstheme="minorHAnsi"/>
          <w:i/>
          <w:iCs/>
          <w:lang w:val="en-AU"/>
        </w:rPr>
        <w:t>pretty horrible</w:t>
      </w:r>
      <w:proofErr w:type="gramEnd"/>
      <w:r w:rsidR="00973D00" w:rsidRPr="00973D00">
        <w:rPr>
          <w:rFonts w:asciiTheme="minorHAnsi" w:hAnsiTheme="minorHAnsi" w:cstheme="minorHAnsi"/>
          <w:i/>
          <w:iCs/>
          <w:lang w:val="en-AU"/>
        </w:rPr>
        <w:t>, I might weigh that up in whether I get on a train without a mask.</w:t>
      </w:r>
      <w:r w:rsidR="00973D00">
        <w:rPr>
          <w:rStyle w:val="FootnoteReference"/>
          <w:rFonts w:asciiTheme="minorHAnsi" w:hAnsiTheme="minorHAnsi" w:cstheme="minorHAnsi"/>
          <w:i/>
          <w:iCs/>
          <w:lang w:val="en-AU"/>
        </w:rPr>
        <w:footnoteReference w:id="24"/>
      </w:r>
      <w:r w:rsidR="00D40FD3">
        <w:rPr>
          <w:rFonts w:asciiTheme="minorHAnsi" w:hAnsiTheme="minorHAnsi" w:cstheme="minorHAnsi"/>
          <w:i/>
          <w:iCs/>
          <w:lang w:val="en-AU"/>
        </w:rPr>
        <w:br/>
      </w:r>
    </w:p>
    <w:p w14:paraId="18B21570" w14:textId="5286368B" w:rsidR="00436D9C" w:rsidRDefault="00D40FD3" w:rsidP="00B95C54">
      <w:pPr>
        <w:pStyle w:val="ListParagraph"/>
        <w:numPr>
          <w:ilvl w:val="0"/>
          <w:numId w:val="11"/>
        </w:numPr>
        <w:rPr>
          <w:rFonts w:asciiTheme="minorHAnsi" w:hAnsiTheme="minorHAnsi" w:cstheme="minorHAnsi"/>
          <w:lang w:val="en-AU"/>
        </w:rPr>
      </w:pPr>
      <w:r>
        <w:rPr>
          <w:rFonts w:asciiTheme="minorHAnsi" w:hAnsiTheme="minorHAnsi" w:cstheme="minorHAnsi"/>
          <w:lang w:val="en-AU"/>
        </w:rPr>
        <w:t>The CMO’s comments have been met with sadness and anger</w:t>
      </w:r>
      <w:r w:rsidR="005B0702">
        <w:rPr>
          <w:rFonts w:asciiTheme="minorHAnsi" w:hAnsiTheme="minorHAnsi" w:cstheme="minorHAnsi"/>
          <w:lang w:val="en-AU"/>
        </w:rPr>
        <w:t xml:space="preserve"> by Long </w:t>
      </w:r>
      <w:r w:rsidR="00F9793D">
        <w:rPr>
          <w:rFonts w:asciiTheme="minorHAnsi" w:hAnsiTheme="minorHAnsi" w:cstheme="minorHAnsi"/>
          <w:lang w:val="en-AU"/>
        </w:rPr>
        <w:t>COVID</w:t>
      </w:r>
      <w:r w:rsidR="005B0702">
        <w:rPr>
          <w:rFonts w:asciiTheme="minorHAnsi" w:hAnsiTheme="minorHAnsi" w:cstheme="minorHAnsi"/>
          <w:lang w:val="en-AU"/>
        </w:rPr>
        <w:t xml:space="preserve"> patients</w:t>
      </w:r>
      <w:r w:rsidR="007159BA">
        <w:rPr>
          <w:rFonts w:asciiTheme="minorHAnsi" w:hAnsiTheme="minorHAnsi" w:cstheme="minorHAnsi"/>
          <w:lang w:val="en-AU"/>
        </w:rPr>
        <w:t xml:space="preserve"> and advocates, </w:t>
      </w:r>
      <w:r w:rsidR="00D30884">
        <w:rPr>
          <w:rFonts w:asciiTheme="minorHAnsi" w:hAnsiTheme="minorHAnsi" w:cstheme="minorHAnsi"/>
          <w:lang w:val="en-AU"/>
        </w:rPr>
        <w:t xml:space="preserve">who feel they are being failed </w:t>
      </w:r>
      <w:r w:rsidR="00FD3949">
        <w:rPr>
          <w:rFonts w:asciiTheme="minorHAnsi" w:hAnsiTheme="minorHAnsi" w:cstheme="minorHAnsi"/>
          <w:lang w:val="en-AU"/>
        </w:rPr>
        <w:t>by a government that is</w:t>
      </w:r>
      <w:r w:rsidR="00F11F4E">
        <w:rPr>
          <w:rFonts w:asciiTheme="minorHAnsi" w:hAnsiTheme="minorHAnsi" w:cstheme="minorHAnsi"/>
          <w:lang w:val="en-AU"/>
        </w:rPr>
        <w:t xml:space="preserve"> neglecting </w:t>
      </w:r>
      <w:r w:rsidR="00FD3949">
        <w:rPr>
          <w:rFonts w:asciiTheme="minorHAnsi" w:hAnsiTheme="minorHAnsi" w:cstheme="minorHAnsi"/>
          <w:lang w:val="en-AU"/>
        </w:rPr>
        <w:t>to</w:t>
      </w:r>
      <w:r w:rsidR="009F3440">
        <w:rPr>
          <w:rFonts w:asciiTheme="minorHAnsi" w:hAnsiTheme="minorHAnsi" w:cstheme="minorHAnsi"/>
          <w:lang w:val="en-AU"/>
        </w:rPr>
        <w:t xml:space="preserve"> speak about the pandemic and Long </w:t>
      </w:r>
      <w:r w:rsidR="00F9793D">
        <w:rPr>
          <w:rFonts w:asciiTheme="minorHAnsi" w:hAnsiTheme="minorHAnsi" w:cstheme="minorHAnsi"/>
          <w:lang w:val="en-AU"/>
        </w:rPr>
        <w:t>COVID</w:t>
      </w:r>
      <w:r w:rsidR="009F3440">
        <w:rPr>
          <w:rFonts w:asciiTheme="minorHAnsi" w:hAnsiTheme="minorHAnsi" w:cstheme="minorHAnsi"/>
          <w:lang w:val="en-AU"/>
        </w:rPr>
        <w:t xml:space="preserve"> </w:t>
      </w:r>
      <w:r w:rsidR="004762E2">
        <w:rPr>
          <w:rFonts w:asciiTheme="minorHAnsi" w:hAnsiTheme="minorHAnsi" w:cstheme="minorHAnsi"/>
          <w:lang w:val="en-AU"/>
        </w:rPr>
        <w:t>for reaso</w:t>
      </w:r>
      <w:r w:rsidR="00F11F4E">
        <w:rPr>
          <w:rFonts w:asciiTheme="minorHAnsi" w:hAnsiTheme="minorHAnsi" w:cstheme="minorHAnsi"/>
          <w:lang w:val="en-AU"/>
        </w:rPr>
        <w:t>ns of political expediency.</w:t>
      </w:r>
      <w:r w:rsidR="00F11F4E">
        <w:rPr>
          <w:rStyle w:val="FootnoteReference"/>
          <w:rFonts w:asciiTheme="minorHAnsi" w:hAnsiTheme="minorHAnsi" w:cstheme="minorHAnsi"/>
          <w:lang w:val="en-AU"/>
        </w:rPr>
        <w:footnoteReference w:id="25"/>
      </w:r>
    </w:p>
    <w:p w14:paraId="2EE9584A" w14:textId="77777777" w:rsidR="00436D9C" w:rsidRDefault="00436D9C" w:rsidP="00436D9C">
      <w:pPr>
        <w:rPr>
          <w:rFonts w:asciiTheme="minorHAnsi" w:hAnsiTheme="minorHAnsi" w:cstheme="minorHAnsi"/>
          <w:b/>
          <w:bCs/>
          <w:lang w:val="en-AU"/>
        </w:rPr>
      </w:pPr>
    </w:p>
    <w:p w14:paraId="06DEE812" w14:textId="48ECDCA8" w:rsidR="00E33F3A" w:rsidRDefault="00E33F3A" w:rsidP="00436D9C">
      <w:pPr>
        <w:rPr>
          <w:rFonts w:asciiTheme="minorHAnsi" w:hAnsiTheme="minorHAnsi" w:cstheme="minorHAnsi"/>
          <w:b/>
          <w:bCs/>
          <w:lang w:val="en-AU"/>
        </w:rPr>
      </w:pPr>
      <w:r w:rsidRPr="00436D9C">
        <w:rPr>
          <w:rFonts w:asciiTheme="minorHAnsi" w:hAnsiTheme="minorHAnsi" w:cstheme="minorHAnsi"/>
          <w:b/>
          <w:bCs/>
          <w:lang w:val="en-AU"/>
        </w:rPr>
        <w:t xml:space="preserve">Australian research </w:t>
      </w:r>
      <w:r w:rsidR="00322DC4" w:rsidRPr="00436D9C">
        <w:rPr>
          <w:rFonts w:asciiTheme="minorHAnsi" w:hAnsiTheme="minorHAnsi" w:cstheme="minorHAnsi"/>
          <w:b/>
          <w:bCs/>
          <w:lang w:val="en-AU"/>
        </w:rPr>
        <w:t>falling</w:t>
      </w:r>
      <w:r w:rsidRPr="00436D9C">
        <w:rPr>
          <w:rFonts w:asciiTheme="minorHAnsi" w:hAnsiTheme="minorHAnsi" w:cstheme="minorHAnsi"/>
          <w:b/>
          <w:bCs/>
          <w:lang w:val="en-AU"/>
        </w:rPr>
        <w:t xml:space="preserve"> behind</w:t>
      </w:r>
      <w:r w:rsidR="00A23227" w:rsidRPr="00436D9C">
        <w:rPr>
          <w:rFonts w:asciiTheme="minorHAnsi" w:hAnsiTheme="minorHAnsi" w:cstheme="minorHAnsi"/>
          <w:b/>
          <w:bCs/>
          <w:lang w:val="en-AU"/>
        </w:rPr>
        <w:t xml:space="preserve"> peer countries</w:t>
      </w:r>
    </w:p>
    <w:p w14:paraId="41DA07B3" w14:textId="7004BF87" w:rsidR="00436D9C" w:rsidRDefault="00101A48" w:rsidP="00B95C54">
      <w:pPr>
        <w:pStyle w:val="ListParagraph"/>
        <w:numPr>
          <w:ilvl w:val="0"/>
          <w:numId w:val="11"/>
        </w:numPr>
        <w:rPr>
          <w:rFonts w:asciiTheme="minorHAnsi" w:hAnsiTheme="minorHAnsi" w:cstheme="minorHAnsi"/>
          <w:lang w:val="en-AU"/>
        </w:rPr>
      </w:pPr>
      <w:r>
        <w:rPr>
          <w:rFonts w:asciiTheme="minorHAnsi" w:hAnsiTheme="minorHAnsi" w:cstheme="minorHAnsi"/>
          <w:lang w:val="en-AU"/>
        </w:rPr>
        <w:t xml:space="preserve">Another serious issue </w:t>
      </w:r>
      <w:r w:rsidR="00530C0D">
        <w:rPr>
          <w:rFonts w:asciiTheme="minorHAnsi" w:hAnsiTheme="minorHAnsi" w:cstheme="minorHAnsi"/>
          <w:lang w:val="en-AU"/>
        </w:rPr>
        <w:t xml:space="preserve">in Australia’s response to Long </w:t>
      </w:r>
      <w:r w:rsidR="00F9793D">
        <w:rPr>
          <w:rFonts w:asciiTheme="minorHAnsi" w:hAnsiTheme="minorHAnsi" w:cstheme="minorHAnsi"/>
          <w:lang w:val="en-AU"/>
        </w:rPr>
        <w:t>COVID</w:t>
      </w:r>
      <w:r w:rsidR="00530C0D">
        <w:rPr>
          <w:rFonts w:asciiTheme="minorHAnsi" w:hAnsiTheme="minorHAnsi" w:cstheme="minorHAnsi"/>
          <w:lang w:val="en-AU"/>
        </w:rPr>
        <w:t xml:space="preserve"> is the relative lack of </w:t>
      </w:r>
      <w:r w:rsidR="00E56714">
        <w:rPr>
          <w:rFonts w:asciiTheme="minorHAnsi" w:hAnsiTheme="minorHAnsi" w:cstheme="minorHAnsi"/>
          <w:lang w:val="en-AU"/>
        </w:rPr>
        <w:t xml:space="preserve">research and subsequent data. Funding for research into </w:t>
      </w:r>
      <w:r w:rsidR="00F9793D">
        <w:rPr>
          <w:rFonts w:asciiTheme="minorHAnsi" w:hAnsiTheme="minorHAnsi" w:cstheme="minorHAnsi"/>
          <w:lang w:val="en-AU"/>
        </w:rPr>
        <w:t>COVID</w:t>
      </w:r>
      <w:r w:rsidR="00E56714">
        <w:rPr>
          <w:rFonts w:asciiTheme="minorHAnsi" w:hAnsiTheme="minorHAnsi" w:cstheme="minorHAnsi"/>
          <w:lang w:val="en-AU"/>
        </w:rPr>
        <w:t>-19 is scarce</w:t>
      </w:r>
      <w:r w:rsidR="0087569E">
        <w:rPr>
          <w:rFonts w:asciiTheme="minorHAnsi" w:hAnsiTheme="minorHAnsi" w:cstheme="minorHAnsi"/>
          <w:lang w:val="en-AU"/>
        </w:rPr>
        <w:t xml:space="preserve">, and Australia has now fallen “well behind” </w:t>
      </w:r>
      <w:r w:rsidR="00FD6B05">
        <w:rPr>
          <w:rFonts w:asciiTheme="minorHAnsi" w:hAnsiTheme="minorHAnsi" w:cstheme="minorHAnsi"/>
          <w:lang w:val="en-AU"/>
        </w:rPr>
        <w:t>peer countries such as the U</w:t>
      </w:r>
      <w:r w:rsidR="0044662C">
        <w:rPr>
          <w:rFonts w:asciiTheme="minorHAnsi" w:hAnsiTheme="minorHAnsi" w:cstheme="minorHAnsi"/>
          <w:lang w:val="en-AU"/>
        </w:rPr>
        <w:t>SA</w:t>
      </w:r>
      <w:r w:rsidR="00FD6B05">
        <w:rPr>
          <w:rFonts w:asciiTheme="minorHAnsi" w:hAnsiTheme="minorHAnsi" w:cstheme="minorHAnsi"/>
          <w:lang w:val="en-AU"/>
        </w:rPr>
        <w:t xml:space="preserve"> and the UK,</w:t>
      </w:r>
      <w:r w:rsidR="001A4CD6">
        <w:rPr>
          <w:rFonts w:asciiTheme="minorHAnsi" w:hAnsiTheme="minorHAnsi" w:cstheme="minorHAnsi"/>
          <w:lang w:val="en-AU"/>
        </w:rPr>
        <w:t xml:space="preserve"> both of which have been undertaking large-scale surveys o</w:t>
      </w:r>
      <w:r w:rsidR="006D06DA">
        <w:rPr>
          <w:rFonts w:asciiTheme="minorHAnsi" w:hAnsiTheme="minorHAnsi" w:cstheme="minorHAnsi"/>
          <w:lang w:val="en-AU"/>
        </w:rPr>
        <w:t xml:space="preserve">f Long </w:t>
      </w:r>
      <w:r w:rsidR="00F9793D">
        <w:rPr>
          <w:rFonts w:asciiTheme="minorHAnsi" w:hAnsiTheme="minorHAnsi" w:cstheme="minorHAnsi"/>
          <w:lang w:val="en-AU"/>
        </w:rPr>
        <w:t>COVID</w:t>
      </w:r>
      <w:r w:rsidR="006D06DA">
        <w:rPr>
          <w:rFonts w:asciiTheme="minorHAnsi" w:hAnsiTheme="minorHAnsi" w:cstheme="minorHAnsi"/>
          <w:lang w:val="en-AU"/>
        </w:rPr>
        <w:t xml:space="preserve"> for some time.</w:t>
      </w:r>
      <w:r w:rsidR="006D06DA">
        <w:rPr>
          <w:rStyle w:val="FootnoteReference"/>
          <w:rFonts w:asciiTheme="minorHAnsi" w:hAnsiTheme="minorHAnsi" w:cstheme="minorHAnsi"/>
          <w:lang w:val="en-AU"/>
        </w:rPr>
        <w:footnoteReference w:id="26"/>
      </w:r>
      <w:r w:rsidR="00A90D8D">
        <w:rPr>
          <w:rFonts w:asciiTheme="minorHAnsi" w:hAnsiTheme="minorHAnsi" w:cstheme="minorHAnsi"/>
          <w:lang w:val="en-AU"/>
        </w:rPr>
        <w:t xml:space="preserve"> </w:t>
      </w:r>
      <w:r w:rsidR="000C486E">
        <w:rPr>
          <w:rFonts w:asciiTheme="minorHAnsi" w:hAnsiTheme="minorHAnsi" w:cstheme="minorHAnsi"/>
          <w:lang w:val="en-AU"/>
        </w:rPr>
        <w:t>The UK’s National Institute</w:t>
      </w:r>
      <w:r w:rsidR="00F17357">
        <w:rPr>
          <w:rFonts w:asciiTheme="minorHAnsi" w:hAnsiTheme="minorHAnsi" w:cstheme="minorHAnsi"/>
          <w:lang w:val="en-AU"/>
        </w:rPr>
        <w:t xml:space="preserve"> for Health and Care Research has allocated more than </w:t>
      </w:r>
      <w:r w:rsidR="008550B9">
        <w:rPr>
          <w:rFonts w:asciiTheme="minorHAnsi" w:hAnsiTheme="minorHAnsi" w:cstheme="minorHAnsi"/>
          <w:lang w:val="en-AU"/>
        </w:rPr>
        <w:t>$89 million</w:t>
      </w:r>
      <w:r w:rsidR="009600E3">
        <w:rPr>
          <w:rFonts w:asciiTheme="minorHAnsi" w:hAnsiTheme="minorHAnsi" w:cstheme="minorHAnsi"/>
          <w:lang w:val="en-AU"/>
        </w:rPr>
        <w:t>,</w:t>
      </w:r>
      <w:r w:rsidR="00D57BB9">
        <w:rPr>
          <w:rFonts w:asciiTheme="minorHAnsi" w:hAnsiTheme="minorHAnsi" w:cstheme="minorHAnsi"/>
          <w:lang w:val="en-AU"/>
        </w:rPr>
        <w:t xml:space="preserve"> with studies set to investigate</w:t>
      </w:r>
      <w:r w:rsidR="004767D3">
        <w:rPr>
          <w:rFonts w:asciiTheme="minorHAnsi" w:hAnsiTheme="minorHAnsi" w:cstheme="minorHAnsi"/>
          <w:lang w:val="en-AU"/>
        </w:rPr>
        <w:t xml:space="preserve"> symptoms including brain fog and shortness of breath, the underlying mechanisms of Long </w:t>
      </w:r>
      <w:r w:rsidR="00F9793D">
        <w:rPr>
          <w:rFonts w:asciiTheme="minorHAnsi" w:hAnsiTheme="minorHAnsi" w:cstheme="minorHAnsi"/>
          <w:lang w:val="en-AU"/>
        </w:rPr>
        <w:t>COVID</w:t>
      </w:r>
      <w:r w:rsidR="004767D3">
        <w:rPr>
          <w:rFonts w:asciiTheme="minorHAnsi" w:hAnsiTheme="minorHAnsi" w:cstheme="minorHAnsi"/>
          <w:lang w:val="en-AU"/>
        </w:rPr>
        <w:t>, and trialling possible treatments.</w:t>
      </w:r>
      <w:r w:rsidR="009600E3">
        <w:rPr>
          <w:rStyle w:val="FootnoteReference"/>
          <w:rFonts w:asciiTheme="minorHAnsi" w:hAnsiTheme="minorHAnsi" w:cstheme="minorHAnsi"/>
          <w:lang w:val="en-AU"/>
        </w:rPr>
        <w:footnoteReference w:id="27"/>
      </w:r>
      <w:r w:rsidR="00F56119">
        <w:rPr>
          <w:rFonts w:asciiTheme="minorHAnsi" w:hAnsiTheme="minorHAnsi" w:cstheme="minorHAnsi"/>
          <w:lang w:val="en-AU"/>
        </w:rPr>
        <w:t xml:space="preserve"> In the USA</w:t>
      </w:r>
      <w:r w:rsidR="00EF24C6">
        <w:rPr>
          <w:rFonts w:asciiTheme="minorHAnsi" w:hAnsiTheme="minorHAnsi" w:cstheme="minorHAnsi"/>
          <w:lang w:val="en-AU"/>
        </w:rPr>
        <w:t xml:space="preserve">, </w:t>
      </w:r>
      <w:r w:rsidR="005C0BA4">
        <w:rPr>
          <w:rFonts w:asciiTheme="minorHAnsi" w:hAnsiTheme="minorHAnsi" w:cstheme="minorHAnsi"/>
          <w:lang w:val="en-AU"/>
        </w:rPr>
        <w:t xml:space="preserve">meanwhile, an impressive </w:t>
      </w:r>
      <w:r w:rsidR="00EF24C6">
        <w:rPr>
          <w:rFonts w:asciiTheme="minorHAnsi" w:hAnsiTheme="minorHAnsi" w:cstheme="minorHAnsi"/>
          <w:lang w:val="en-AU"/>
        </w:rPr>
        <w:t xml:space="preserve">$1.5 billion has been allocated </w:t>
      </w:r>
      <w:r w:rsidR="005C0BA4">
        <w:rPr>
          <w:rFonts w:asciiTheme="minorHAnsi" w:hAnsiTheme="minorHAnsi" w:cstheme="minorHAnsi"/>
          <w:lang w:val="en-AU"/>
        </w:rPr>
        <w:t xml:space="preserve">to Long </w:t>
      </w:r>
      <w:r w:rsidR="00F9793D">
        <w:rPr>
          <w:rFonts w:asciiTheme="minorHAnsi" w:hAnsiTheme="minorHAnsi" w:cstheme="minorHAnsi"/>
          <w:lang w:val="en-AU"/>
        </w:rPr>
        <w:t>COVID</w:t>
      </w:r>
      <w:r w:rsidR="005C0BA4">
        <w:rPr>
          <w:rFonts w:asciiTheme="minorHAnsi" w:hAnsiTheme="minorHAnsi" w:cstheme="minorHAnsi"/>
          <w:lang w:val="en-AU"/>
        </w:rPr>
        <w:t xml:space="preserve"> research, tracking and monitoring, and ensuring equitable access to support and care.</w:t>
      </w:r>
      <w:r w:rsidR="005C0BA4">
        <w:rPr>
          <w:rStyle w:val="FootnoteReference"/>
          <w:rFonts w:asciiTheme="minorHAnsi" w:hAnsiTheme="minorHAnsi" w:cstheme="minorHAnsi"/>
          <w:lang w:val="en-AU"/>
        </w:rPr>
        <w:footnoteReference w:id="28"/>
      </w:r>
      <w:r w:rsidR="00FA0D8E">
        <w:rPr>
          <w:rFonts w:asciiTheme="minorHAnsi" w:hAnsiTheme="minorHAnsi" w:cstheme="minorHAnsi"/>
          <w:lang w:val="en-AU"/>
        </w:rPr>
        <w:br/>
      </w:r>
    </w:p>
    <w:p w14:paraId="1320519E" w14:textId="5A17EF19" w:rsidR="00623938" w:rsidRPr="00436D9C" w:rsidRDefault="00623938" w:rsidP="00B95C54">
      <w:pPr>
        <w:pStyle w:val="ListParagraph"/>
        <w:numPr>
          <w:ilvl w:val="0"/>
          <w:numId w:val="11"/>
        </w:numPr>
        <w:rPr>
          <w:rFonts w:asciiTheme="minorHAnsi" w:hAnsiTheme="minorHAnsi" w:cstheme="minorHAnsi"/>
          <w:lang w:val="en-AU"/>
        </w:rPr>
      </w:pPr>
      <w:r>
        <w:rPr>
          <w:rFonts w:asciiTheme="minorHAnsi" w:hAnsiTheme="minorHAnsi" w:cstheme="minorHAnsi"/>
          <w:lang w:val="en-AU"/>
        </w:rPr>
        <w:t>Australian physicians and researchers</w:t>
      </w:r>
      <w:r w:rsidR="00E256D7">
        <w:rPr>
          <w:rFonts w:asciiTheme="minorHAnsi" w:hAnsiTheme="minorHAnsi" w:cstheme="minorHAnsi"/>
          <w:lang w:val="en-AU"/>
        </w:rPr>
        <w:t xml:space="preserve"> have called for the government to establish </w:t>
      </w:r>
      <w:r w:rsidR="00125EFD">
        <w:rPr>
          <w:rFonts w:asciiTheme="minorHAnsi" w:hAnsiTheme="minorHAnsi" w:cstheme="minorHAnsi"/>
          <w:lang w:val="en-AU"/>
        </w:rPr>
        <w:t>its own comparable large population study</w:t>
      </w:r>
      <w:r w:rsidR="00DB61A7">
        <w:rPr>
          <w:rFonts w:asciiTheme="minorHAnsi" w:hAnsiTheme="minorHAnsi" w:cstheme="minorHAnsi"/>
          <w:lang w:val="en-AU"/>
        </w:rPr>
        <w:t xml:space="preserve"> to further understand the true burden of Long </w:t>
      </w:r>
      <w:r w:rsidR="00F9793D">
        <w:rPr>
          <w:rFonts w:asciiTheme="minorHAnsi" w:hAnsiTheme="minorHAnsi" w:cstheme="minorHAnsi"/>
          <w:lang w:val="en-AU"/>
        </w:rPr>
        <w:t>COVID</w:t>
      </w:r>
      <w:r w:rsidR="00DB61A7">
        <w:rPr>
          <w:rFonts w:asciiTheme="minorHAnsi" w:hAnsiTheme="minorHAnsi" w:cstheme="minorHAnsi"/>
          <w:lang w:val="en-AU"/>
        </w:rPr>
        <w:t xml:space="preserve"> and </w:t>
      </w:r>
      <w:r w:rsidR="00FF41AC">
        <w:rPr>
          <w:rFonts w:asciiTheme="minorHAnsi" w:hAnsiTheme="minorHAnsi" w:cstheme="minorHAnsi"/>
          <w:lang w:val="en-AU"/>
        </w:rPr>
        <w:t>develop appropriate treatment protocols.</w:t>
      </w:r>
      <w:r w:rsidR="00FA0D8E">
        <w:rPr>
          <w:rFonts w:asciiTheme="minorHAnsi" w:hAnsiTheme="minorHAnsi" w:cstheme="minorHAnsi"/>
          <w:lang w:val="en-AU"/>
        </w:rPr>
        <w:t xml:space="preserve"> At present, </w:t>
      </w:r>
      <w:r w:rsidR="00C1677D">
        <w:rPr>
          <w:rFonts w:asciiTheme="minorHAnsi" w:hAnsiTheme="minorHAnsi" w:cstheme="minorHAnsi"/>
          <w:lang w:val="en-AU"/>
        </w:rPr>
        <w:t xml:space="preserve">in the absence of good data, there are simply “too many unknowns” </w:t>
      </w:r>
      <w:r w:rsidR="001B2FAB">
        <w:rPr>
          <w:rFonts w:asciiTheme="minorHAnsi" w:hAnsiTheme="minorHAnsi" w:cstheme="minorHAnsi"/>
          <w:lang w:val="en-AU"/>
        </w:rPr>
        <w:t>regarding</w:t>
      </w:r>
      <w:r w:rsidR="000743F0">
        <w:rPr>
          <w:rFonts w:asciiTheme="minorHAnsi" w:hAnsiTheme="minorHAnsi" w:cstheme="minorHAnsi"/>
          <w:lang w:val="en-AU"/>
        </w:rPr>
        <w:t xml:space="preserve"> prevention, diagnosis, and treatment.</w:t>
      </w:r>
      <w:r w:rsidR="000743F0">
        <w:rPr>
          <w:rStyle w:val="FootnoteReference"/>
          <w:rFonts w:asciiTheme="minorHAnsi" w:hAnsiTheme="minorHAnsi" w:cstheme="minorHAnsi"/>
          <w:lang w:val="en-AU"/>
        </w:rPr>
        <w:footnoteReference w:id="29"/>
      </w:r>
    </w:p>
    <w:p w14:paraId="546922D7" w14:textId="77777777" w:rsidR="0030794F" w:rsidRDefault="0030794F" w:rsidP="0020048B">
      <w:pPr>
        <w:rPr>
          <w:rFonts w:asciiTheme="minorHAnsi" w:hAnsiTheme="minorHAnsi" w:cstheme="minorHAnsi"/>
          <w:lang w:val="en-AU"/>
        </w:rPr>
      </w:pPr>
    </w:p>
    <w:p w14:paraId="17211B2D" w14:textId="2321560D" w:rsidR="00A23227" w:rsidRDefault="0030794F" w:rsidP="0020048B">
      <w:pPr>
        <w:rPr>
          <w:rFonts w:asciiTheme="minorHAnsi" w:hAnsiTheme="minorHAnsi" w:cstheme="minorHAnsi"/>
          <w:b/>
          <w:bCs/>
          <w:lang w:val="en-AU"/>
        </w:rPr>
      </w:pPr>
      <w:r w:rsidRPr="0030794F">
        <w:rPr>
          <w:rFonts w:asciiTheme="minorHAnsi" w:hAnsiTheme="minorHAnsi" w:cstheme="minorHAnsi"/>
          <w:b/>
          <w:bCs/>
          <w:lang w:val="en-AU"/>
        </w:rPr>
        <w:t>Insufficient funding</w:t>
      </w:r>
      <w:r w:rsidR="006942DE">
        <w:rPr>
          <w:rFonts w:asciiTheme="minorHAnsi" w:hAnsiTheme="minorHAnsi" w:cstheme="minorHAnsi"/>
          <w:b/>
          <w:bCs/>
          <w:lang w:val="en-AU"/>
        </w:rPr>
        <w:t xml:space="preserve"> for dedicated Long </w:t>
      </w:r>
      <w:r w:rsidR="00F9793D">
        <w:rPr>
          <w:rFonts w:asciiTheme="minorHAnsi" w:hAnsiTheme="minorHAnsi" w:cstheme="minorHAnsi"/>
          <w:b/>
          <w:bCs/>
          <w:lang w:val="en-AU"/>
        </w:rPr>
        <w:t>COVID</w:t>
      </w:r>
      <w:r w:rsidR="006942DE">
        <w:rPr>
          <w:rFonts w:asciiTheme="minorHAnsi" w:hAnsiTheme="minorHAnsi" w:cstheme="minorHAnsi"/>
          <w:b/>
          <w:bCs/>
          <w:lang w:val="en-AU"/>
        </w:rPr>
        <w:t xml:space="preserve"> clinics</w:t>
      </w:r>
    </w:p>
    <w:p w14:paraId="355CF5BC" w14:textId="1AD638FD" w:rsidR="00575312" w:rsidRPr="00124597" w:rsidRDefault="00581A63" w:rsidP="00B95C54">
      <w:pPr>
        <w:pStyle w:val="ListParagraph"/>
        <w:numPr>
          <w:ilvl w:val="0"/>
          <w:numId w:val="12"/>
        </w:numPr>
        <w:rPr>
          <w:rFonts w:asciiTheme="minorHAnsi" w:hAnsiTheme="minorHAnsi" w:cstheme="minorHAnsi"/>
          <w:lang w:val="en-AU"/>
        </w:rPr>
      </w:pPr>
      <w:r w:rsidRPr="00581A63">
        <w:rPr>
          <w:rFonts w:asciiTheme="minorHAnsi" w:hAnsiTheme="minorHAnsi" w:cstheme="minorHAnsi"/>
          <w:lang w:val="en-AU"/>
        </w:rPr>
        <w:t>As with funding for research, the</w:t>
      </w:r>
      <w:r>
        <w:rPr>
          <w:rFonts w:asciiTheme="minorHAnsi" w:hAnsiTheme="minorHAnsi" w:cstheme="minorHAnsi"/>
          <w:lang w:val="en-AU"/>
        </w:rPr>
        <w:t xml:space="preserve">re is similarly inadequate funding for dedicated Long </w:t>
      </w:r>
      <w:r w:rsidR="00F9793D">
        <w:rPr>
          <w:rFonts w:asciiTheme="minorHAnsi" w:hAnsiTheme="minorHAnsi" w:cstheme="minorHAnsi"/>
          <w:lang w:val="en-AU"/>
        </w:rPr>
        <w:t>COVID</w:t>
      </w:r>
      <w:r>
        <w:rPr>
          <w:rFonts w:asciiTheme="minorHAnsi" w:hAnsiTheme="minorHAnsi" w:cstheme="minorHAnsi"/>
          <w:lang w:val="en-AU"/>
        </w:rPr>
        <w:t xml:space="preserve"> </w:t>
      </w:r>
      <w:r w:rsidR="009A330A">
        <w:rPr>
          <w:rFonts w:asciiTheme="minorHAnsi" w:hAnsiTheme="minorHAnsi" w:cstheme="minorHAnsi"/>
          <w:lang w:val="en-AU"/>
        </w:rPr>
        <w:t>c</w:t>
      </w:r>
      <w:r>
        <w:rPr>
          <w:rFonts w:asciiTheme="minorHAnsi" w:hAnsiTheme="minorHAnsi" w:cstheme="minorHAnsi"/>
          <w:lang w:val="en-AU"/>
        </w:rPr>
        <w:t xml:space="preserve">linics. </w:t>
      </w:r>
      <w:r w:rsidR="009A330A">
        <w:rPr>
          <w:rFonts w:asciiTheme="minorHAnsi" w:hAnsiTheme="minorHAnsi" w:cstheme="minorHAnsi"/>
          <w:lang w:val="en-AU"/>
        </w:rPr>
        <w:t>Though clinics have been established across the country</w:t>
      </w:r>
      <w:r w:rsidR="00CC3994">
        <w:rPr>
          <w:rFonts w:asciiTheme="minorHAnsi" w:hAnsiTheme="minorHAnsi" w:cstheme="minorHAnsi"/>
          <w:lang w:val="en-AU"/>
        </w:rPr>
        <w:t xml:space="preserve">, they are “completely overwhelmed”, with </w:t>
      </w:r>
      <w:r w:rsidR="00B4710C">
        <w:rPr>
          <w:rFonts w:asciiTheme="minorHAnsi" w:hAnsiTheme="minorHAnsi" w:cstheme="minorHAnsi"/>
          <w:lang w:val="en-AU"/>
        </w:rPr>
        <w:t>patients waiting many months to be seen</w:t>
      </w:r>
      <w:r w:rsidR="00585554">
        <w:rPr>
          <w:rFonts w:asciiTheme="minorHAnsi" w:hAnsiTheme="minorHAnsi" w:cstheme="minorHAnsi"/>
          <w:lang w:val="en-AU"/>
        </w:rPr>
        <w:t>,</w:t>
      </w:r>
      <w:r w:rsidR="005372B7">
        <w:rPr>
          <w:rStyle w:val="FootnoteReference"/>
          <w:rFonts w:asciiTheme="minorHAnsi" w:hAnsiTheme="minorHAnsi" w:cstheme="minorHAnsi"/>
          <w:lang w:val="en-AU"/>
        </w:rPr>
        <w:footnoteReference w:id="30"/>
      </w:r>
      <w:r w:rsidR="00585554">
        <w:rPr>
          <w:rFonts w:asciiTheme="minorHAnsi" w:hAnsiTheme="minorHAnsi" w:cstheme="minorHAnsi"/>
          <w:lang w:val="en-AU"/>
        </w:rPr>
        <w:t xml:space="preserve"> in some cases up to one year.</w:t>
      </w:r>
      <w:r w:rsidR="00D516B7">
        <w:rPr>
          <w:rStyle w:val="FootnoteReference"/>
          <w:rFonts w:asciiTheme="minorHAnsi" w:hAnsiTheme="minorHAnsi" w:cstheme="minorHAnsi"/>
          <w:lang w:val="en-AU"/>
        </w:rPr>
        <w:footnoteReference w:id="31"/>
      </w:r>
      <w:r w:rsidR="007257AB">
        <w:rPr>
          <w:rFonts w:asciiTheme="minorHAnsi" w:hAnsiTheme="minorHAnsi" w:cstheme="minorHAnsi"/>
          <w:lang w:val="en-AU"/>
        </w:rPr>
        <w:t xml:space="preserve"> The situation is so dire that </w:t>
      </w:r>
      <w:r w:rsidR="004610A8">
        <w:rPr>
          <w:rFonts w:asciiTheme="minorHAnsi" w:hAnsiTheme="minorHAnsi" w:cstheme="minorHAnsi"/>
          <w:lang w:val="en-AU"/>
        </w:rPr>
        <w:t>some</w:t>
      </w:r>
      <w:r w:rsidR="007257AB">
        <w:rPr>
          <w:rFonts w:asciiTheme="minorHAnsi" w:hAnsiTheme="minorHAnsi" w:cstheme="minorHAnsi"/>
          <w:lang w:val="en-AU"/>
        </w:rPr>
        <w:t xml:space="preserve"> clinics have been </w:t>
      </w:r>
      <w:r w:rsidR="003B7B49">
        <w:rPr>
          <w:rFonts w:asciiTheme="minorHAnsi" w:hAnsiTheme="minorHAnsi" w:cstheme="minorHAnsi"/>
          <w:lang w:val="en-AU"/>
        </w:rPr>
        <w:t xml:space="preserve">or will </w:t>
      </w:r>
      <w:r w:rsidR="00AB4C11">
        <w:rPr>
          <w:rFonts w:asciiTheme="minorHAnsi" w:hAnsiTheme="minorHAnsi" w:cstheme="minorHAnsi"/>
          <w:lang w:val="en-AU"/>
        </w:rPr>
        <w:t xml:space="preserve">shortly be forced </w:t>
      </w:r>
      <w:r w:rsidR="007257AB">
        <w:rPr>
          <w:rFonts w:asciiTheme="minorHAnsi" w:hAnsiTheme="minorHAnsi" w:cstheme="minorHAnsi"/>
          <w:lang w:val="en-AU"/>
        </w:rPr>
        <w:t xml:space="preserve">to close, including </w:t>
      </w:r>
      <w:r w:rsidR="003B5208">
        <w:rPr>
          <w:rFonts w:asciiTheme="minorHAnsi" w:hAnsiTheme="minorHAnsi" w:cstheme="minorHAnsi"/>
          <w:lang w:val="en-AU"/>
        </w:rPr>
        <w:t>a “post-</w:t>
      </w:r>
      <w:r w:rsidR="00F9793D">
        <w:rPr>
          <w:rFonts w:asciiTheme="minorHAnsi" w:hAnsiTheme="minorHAnsi" w:cstheme="minorHAnsi"/>
          <w:lang w:val="en-AU"/>
        </w:rPr>
        <w:t>COVID</w:t>
      </w:r>
      <w:r w:rsidR="003B5208">
        <w:rPr>
          <w:rFonts w:asciiTheme="minorHAnsi" w:hAnsiTheme="minorHAnsi" w:cstheme="minorHAnsi"/>
          <w:lang w:val="en-AU"/>
        </w:rPr>
        <w:t>-19” clinic at the Northern Hospital, and t</w:t>
      </w:r>
      <w:r w:rsidR="00BD2207" w:rsidRPr="00BD2207">
        <w:rPr>
          <w:rFonts w:asciiTheme="minorHAnsi" w:hAnsiTheme="minorHAnsi" w:cstheme="minorHAnsi"/>
          <w:lang w:val="en-AU"/>
        </w:rPr>
        <w:t xml:space="preserve">he </w:t>
      </w:r>
      <w:r w:rsidR="00BD2207" w:rsidRPr="00BD2207">
        <w:rPr>
          <w:rFonts w:asciiTheme="minorHAnsi" w:hAnsiTheme="minorHAnsi" w:cstheme="minorHAnsi"/>
          <w:lang w:val="en-AU"/>
        </w:rPr>
        <w:lastRenderedPageBreak/>
        <w:t xml:space="preserve">Long </w:t>
      </w:r>
      <w:r w:rsidR="00F9793D">
        <w:rPr>
          <w:rFonts w:asciiTheme="minorHAnsi" w:hAnsiTheme="minorHAnsi" w:cstheme="minorHAnsi"/>
          <w:lang w:val="en-AU"/>
        </w:rPr>
        <w:t>COVID</w:t>
      </w:r>
      <w:r w:rsidR="00BD2207" w:rsidRPr="00BD2207">
        <w:rPr>
          <w:rFonts w:asciiTheme="minorHAnsi" w:hAnsiTheme="minorHAnsi" w:cstheme="minorHAnsi"/>
          <w:lang w:val="en-AU"/>
        </w:rPr>
        <w:t xml:space="preserve"> Rehabilitation Service at the Austin Hospital</w:t>
      </w:r>
      <w:r w:rsidR="00575312">
        <w:rPr>
          <w:rFonts w:asciiTheme="minorHAnsi" w:hAnsiTheme="minorHAnsi" w:cstheme="minorHAnsi"/>
          <w:lang w:val="en-AU"/>
        </w:rPr>
        <w:t>, which had been receiving federal funding through an agreement that ends on 31 December.</w:t>
      </w:r>
      <w:r w:rsidR="003B5208">
        <w:rPr>
          <w:rStyle w:val="FootnoteReference"/>
          <w:rFonts w:asciiTheme="minorHAnsi" w:hAnsiTheme="minorHAnsi" w:cstheme="minorHAnsi"/>
          <w:lang w:val="en-AU"/>
        </w:rPr>
        <w:footnoteReference w:id="32"/>
      </w:r>
      <w:r w:rsidR="004610A8">
        <w:rPr>
          <w:rFonts w:asciiTheme="minorHAnsi" w:hAnsiTheme="minorHAnsi" w:cstheme="minorHAnsi"/>
          <w:lang w:val="en-AU"/>
        </w:rPr>
        <w:t xml:space="preserve"> </w:t>
      </w:r>
      <w:r w:rsidR="004E1E92">
        <w:rPr>
          <w:rFonts w:asciiTheme="minorHAnsi" w:hAnsiTheme="minorHAnsi" w:cstheme="minorHAnsi"/>
          <w:lang w:val="en-AU"/>
        </w:rPr>
        <w:t xml:space="preserve">At the Alfred hospital, there is a wait-list </w:t>
      </w:r>
      <w:r w:rsidR="006457A2">
        <w:rPr>
          <w:rFonts w:asciiTheme="minorHAnsi" w:hAnsiTheme="minorHAnsi" w:cstheme="minorHAnsi"/>
          <w:lang w:val="en-AU"/>
        </w:rPr>
        <w:t xml:space="preserve">approximately 100-patients long, </w:t>
      </w:r>
      <w:r w:rsidR="0029281A">
        <w:rPr>
          <w:rFonts w:asciiTheme="minorHAnsi" w:hAnsiTheme="minorHAnsi" w:cstheme="minorHAnsi"/>
          <w:lang w:val="en-AU"/>
        </w:rPr>
        <w:t>while both St Vincent’s and the</w:t>
      </w:r>
      <w:r w:rsidR="006457A2">
        <w:rPr>
          <w:rFonts w:asciiTheme="minorHAnsi" w:hAnsiTheme="minorHAnsi" w:cstheme="minorHAnsi"/>
          <w:lang w:val="en-AU"/>
        </w:rPr>
        <w:t xml:space="preserve"> Royal Melbourne Hospital </w:t>
      </w:r>
      <w:r w:rsidR="0029281A">
        <w:rPr>
          <w:rFonts w:asciiTheme="minorHAnsi" w:hAnsiTheme="minorHAnsi" w:cstheme="minorHAnsi"/>
          <w:lang w:val="en-AU"/>
        </w:rPr>
        <w:t>have</w:t>
      </w:r>
      <w:r w:rsidR="006457A2">
        <w:rPr>
          <w:rFonts w:asciiTheme="minorHAnsi" w:hAnsiTheme="minorHAnsi" w:cstheme="minorHAnsi"/>
          <w:lang w:val="en-AU"/>
        </w:rPr>
        <w:t xml:space="preserve"> 11-month wait list</w:t>
      </w:r>
      <w:r w:rsidR="0029281A">
        <w:rPr>
          <w:rFonts w:asciiTheme="minorHAnsi" w:hAnsiTheme="minorHAnsi" w:cstheme="minorHAnsi"/>
          <w:lang w:val="en-AU"/>
        </w:rPr>
        <w:t>s</w:t>
      </w:r>
      <w:r w:rsidR="006457A2">
        <w:rPr>
          <w:rFonts w:asciiTheme="minorHAnsi" w:hAnsiTheme="minorHAnsi" w:cstheme="minorHAnsi"/>
          <w:lang w:val="en-AU"/>
        </w:rPr>
        <w:t>.</w:t>
      </w:r>
      <w:r w:rsidR="004041FE">
        <w:rPr>
          <w:rStyle w:val="FootnoteReference"/>
          <w:rFonts w:asciiTheme="minorHAnsi" w:hAnsiTheme="minorHAnsi" w:cstheme="minorHAnsi"/>
          <w:lang w:val="en-AU"/>
        </w:rPr>
        <w:footnoteReference w:id="33"/>
      </w:r>
      <w:r w:rsidR="00716937">
        <w:rPr>
          <w:rFonts w:asciiTheme="minorHAnsi" w:hAnsiTheme="minorHAnsi" w:cstheme="minorHAnsi"/>
          <w:lang w:val="en-AU"/>
        </w:rPr>
        <w:t xml:space="preserve"> In r</w:t>
      </w:r>
      <w:r w:rsidR="006D4D3D">
        <w:rPr>
          <w:rFonts w:asciiTheme="minorHAnsi" w:hAnsiTheme="minorHAnsi" w:cstheme="minorHAnsi"/>
          <w:lang w:val="en-AU"/>
        </w:rPr>
        <w:t xml:space="preserve">egional areas, the situation is even worse, with many patients – including many Indigenous Australians </w:t>
      </w:r>
      <w:r w:rsidR="009F759D">
        <w:rPr>
          <w:rFonts w:asciiTheme="minorHAnsi" w:hAnsiTheme="minorHAnsi" w:cstheme="minorHAnsi"/>
          <w:lang w:val="en-AU"/>
        </w:rPr>
        <w:t>–</w:t>
      </w:r>
      <w:r w:rsidR="006D4D3D">
        <w:rPr>
          <w:rFonts w:asciiTheme="minorHAnsi" w:hAnsiTheme="minorHAnsi" w:cstheme="minorHAnsi"/>
          <w:lang w:val="en-AU"/>
        </w:rPr>
        <w:t xml:space="preserve"> </w:t>
      </w:r>
      <w:r w:rsidR="00C90CAE">
        <w:rPr>
          <w:rFonts w:asciiTheme="minorHAnsi" w:hAnsiTheme="minorHAnsi" w:cstheme="minorHAnsi"/>
          <w:lang w:val="en-AU"/>
        </w:rPr>
        <w:t xml:space="preserve">left untreated as there </w:t>
      </w:r>
      <w:r w:rsidR="00DE2AE2">
        <w:rPr>
          <w:rFonts w:asciiTheme="minorHAnsi" w:hAnsiTheme="minorHAnsi" w:cstheme="minorHAnsi"/>
          <w:lang w:val="en-AU"/>
        </w:rPr>
        <w:t>are</w:t>
      </w:r>
      <w:r w:rsidR="00C90CAE">
        <w:rPr>
          <w:rFonts w:asciiTheme="minorHAnsi" w:hAnsiTheme="minorHAnsi" w:cstheme="minorHAnsi"/>
          <w:lang w:val="en-AU"/>
        </w:rPr>
        <w:t xml:space="preserve"> simply no services at all.</w:t>
      </w:r>
      <w:r w:rsidR="00C90CAE">
        <w:rPr>
          <w:rStyle w:val="FootnoteReference"/>
          <w:rFonts w:asciiTheme="minorHAnsi" w:hAnsiTheme="minorHAnsi" w:cstheme="minorHAnsi"/>
          <w:lang w:val="en-AU"/>
        </w:rPr>
        <w:footnoteReference w:id="34"/>
      </w:r>
      <w:r w:rsidR="006457A2" w:rsidRPr="00124597">
        <w:rPr>
          <w:rFonts w:asciiTheme="minorHAnsi" w:hAnsiTheme="minorHAnsi" w:cstheme="minorHAnsi"/>
          <w:lang w:val="en-AU"/>
        </w:rPr>
        <w:br/>
      </w:r>
    </w:p>
    <w:p w14:paraId="3B1CBB8F" w14:textId="05D1950A" w:rsidR="004D4BF6" w:rsidRDefault="00AB4C11" w:rsidP="00B95C54">
      <w:pPr>
        <w:pStyle w:val="ListParagraph"/>
        <w:numPr>
          <w:ilvl w:val="0"/>
          <w:numId w:val="12"/>
        </w:numPr>
        <w:rPr>
          <w:rFonts w:asciiTheme="minorHAnsi" w:hAnsiTheme="minorHAnsi" w:cstheme="minorHAnsi"/>
          <w:lang w:val="en-AU"/>
        </w:rPr>
      </w:pPr>
      <w:r>
        <w:rPr>
          <w:rFonts w:asciiTheme="minorHAnsi" w:hAnsiTheme="minorHAnsi" w:cstheme="minorHAnsi"/>
          <w:lang w:val="en-AU"/>
        </w:rPr>
        <w:t xml:space="preserve">Patients have been advised to access </w:t>
      </w:r>
      <w:r w:rsidR="00124597">
        <w:rPr>
          <w:rFonts w:asciiTheme="minorHAnsi" w:hAnsiTheme="minorHAnsi" w:cstheme="minorHAnsi"/>
          <w:lang w:val="en-AU"/>
        </w:rPr>
        <w:t xml:space="preserve">alternative supports through their GPs, </w:t>
      </w:r>
      <w:r w:rsidR="00416CBC">
        <w:rPr>
          <w:rFonts w:asciiTheme="minorHAnsi" w:hAnsiTheme="minorHAnsi" w:cstheme="minorHAnsi"/>
          <w:lang w:val="en-AU"/>
        </w:rPr>
        <w:t>however,</w:t>
      </w:r>
      <w:r w:rsidR="00875F01">
        <w:rPr>
          <w:rFonts w:asciiTheme="minorHAnsi" w:hAnsiTheme="minorHAnsi" w:cstheme="minorHAnsi"/>
          <w:lang w:val="en-AU"/>
        </w:rPr>
        <w:t xml:space="preserve"> there are barriers here too,</w:t>
      </w:r>
      <w:r w:rsidR="00416CBC">
        <w:rPr>
          <w:rFonts w:asciiTheme="minorHAnsi" w:hAnsiTheme="minorHAnsi" w:cstheme="minorHAnsi"/>
          <w:lang w:val="en-AU"/>
        </w:rPr>
        <w:t xml:space="preserve"> </w:t>
      </w:r>
      <w:r w:rsidR="00875F01">
        <w:rPr>
          <w:rFonts w:asciiTheme="minorHAnsi" w:hAnsiTheme="minorHAnsi" w:cstheme="minorHAnsi"/>
          <w:lang w:val="en-AU"/>
        </w:rPr>
        <w:t xml:space="preserve">as </w:t>
      </w:r>
      <w:r w:rsidR="00416CBC">
        <w:rPr>
          <w:rFonts w:asciiTheme="minorHAnsi" w:hAnsiTheme="minorHAnsi" w:cstheme="minorHAnsi"/>
          <w:lang w:val="en-AU"/>
        </w:rPr>
        <w:t>currently</w:t>
      </w:r>
      <w:r w:rsidR="00875F01">
        <w:rPr>
          <w:rFonts w:asciiTheme="minorHAnsi" w:hAnsiTheme="minorHAnsi" w:cstheme="minorHAnsi"/>
          <w:lang w:val="en-AU"/>
        </w:rPr>
        <w:t xml:space="preserve"> an individual must experience symptoms </w:t>
      </w:r>
      <w:r w:rsidR="002B15EC">
        <w:rPr>
          <w:rFonts w:asciiTheme="minorHAnsi" w:hAnsiTheme="minorHAnsi" w:cstheme="minorHAnsi"/>
          <w:lang w:val="en-AU"/>
        </w:rPr>
        <w:t>for a minimum of six months before being eligible for a coordinated care plan</w:t>
      </w:r>
      <w:r w:rsidR="00DE2AE2">
        <w:rPr>
          <w:rFonts w:asciiTheme="minorHAnsi" w:hAnsiTheme="minorHAnsi" w:cstheme="minorHAnsi"/>
          <w:lang w:val="en-AU"/>
        </w:rPr>
        <w:t>.</w:t>
      </w:r>
      <w:r w:rsidR="002B15EC">
        <w:rPr>
          <w:rStyle w:val="FootnoteReference"/>
          <w:rFonts w:asciiTheme="minorHAnsi" w:hAnsiTheme="minorHAnsi" w:cstheme="minorHAnsi"/>
          <w:lang w:val="en-AU"/>
        </w:rPr>
        <w:footnoteReference w:id="35"/>
      </w:r>
      <w:r w:rsidR="002A03CE">
        <w:rPr>
          <w:rFonts w:asciiTheme="minorHAnsi" w:hAnsiTheme="minorHAnsi" w:cstheme="minorHAnsi"/>
          <w:lang w:val="en-AU"/>
        </w:rPr>
        <w:t xml:space="preserve"> Even when this care is accessible, many patients described </w:t>
      </w:r>
      <w:r w:rsidR="00A77C57">
        <w:rPr>
          <w:rFonts w:asciiTheme="minorHAnsi" w:hAnsiTheme="minorHAnsi" w:cstheme="minorHAnsi"/>
          <w:lang w:val="en-AU"/>
        </w:rPr>
        <w:t xml:space="preserve">experiences with </w:t>
      </w:r>
      <w:r w:rsidR="00416305">
        <w:rPr>
          <w:rFonts w:asciiTheme="minorHAnsi" w:hAnsiTheme="minorHAnsi" w:cstheme="minorHAnsi"/>
          <w:lang w:val="en-AU"/>
        </w:rPr>
        <w:t>doctors</w:t>
      </w:r>
      <w:r w:rsidR="002A03CE">
        <w:rPr>
          <w:rFonts w:asciiTheme="minorHAnsi" w:hAnsiTheme="minorHAnsi" w:cstheme="minorHAnsi"/>
          <w:lang w:val="en-AU"/>
        </w:rPr>
        <w:t xml:space="preserve"> who were </w:t>
      </w:r>
      <w:r w:rsidR="00040346">
        <w:rPr>
          <w:rFonts w:asciiTheme="minorHAnsi" w:hAnsiTheme="minorHAnsi" w:cstheme="minorHAnsi"/>
          <w:lang w:val="en-AU"/>
        </w:rPr>
        <w:t xml:space="preserve">either ignorant of Long </w:t>
      </w:r>
      <w:r w:rsidR="00F9793D">
        <w:rPr>
          <w:rFonts w:asciiTheme="minorHAnsi" w:hAnsiTheme="minorHAnsi" w:cstheme="minorHAnsi"/>
          <w:lang w:val="en-AU"/>
        </w:rPr>
        <w:t>COVID</w:t>
      </w:r>
      <w:r w:rsidR="00416305">
        <w:rPr>
          <w:rFonts w:asciiTheme="minorHAnsi" w:hAnsiTheme="minorHAnsi" w:cstheme="minorHAnsi"/>
          <w:lang w:val="en-AU"/>
        </w:rPr>
        <w:t xml:space="preserve"> or treated them dismissively.</w:t>
      </w:r>
      <w:r w:rsidR="00645FA8">
        <w:rPr>
          <w:rFonts w:asciiTheme="minorHAnsi" w:hAnsiTheme="minorHAnsi" w:cstheme="minorHAnsi"/>
          <w:lang w:val="en-AU"/>
        </w:rPr>
        <w:br/>
      </w:r>
    </w:p>
    <w:p w14:paraId="7B72E21F" w14:textId="5902D837" w:rsidR="00645FA8" w:rsidRDefault="005141BD" w:rsidP="00B95C54">
      <w:pPr>
        <w:pStyle w:val="ListParagraph"/>
        <w:numPr>
          <w:ilvl w:val="0"/>
          <w:numId w:val="12"/>
        </w:numPr>
        <w:rPr>
          <w:rFonts w:asciiTheme="minorHAnsi" w:hAnsiTheme="minorHAnsi" w:cstheme="minorHAnsi"/>
          <w:lang w:val="en-AU"/>
        </w:rPr>
      </w:pPr>
      <w:r>
        <w:rPr>
          <w:rFonts w:asciiTheme="minorHAnsi" w:hAnsiTheme="minorHAnsi" w:cstheme="minorHAnsi"/>
          <w:lang w:val="en-AU"/>
        </w:rPr>
        <w:t>In contrast to the</w:t>
      </w:r>
      <w:r w:rsidR="00B83A08">
        <w:rPr>
          <w:rFonts w:asciiTheme="minorHAnsi" w:hAnsiTheme="minorHAnsi" w:cstheme="minorHAnsi"/>
          <w:lang w:val="en-AU"/>
        </w:rPr>
        <w:t xml:space="preserve"> levels of funding </w:t>
      </w:r>
      <w:r w:rsidR="00674B01">
        <w:rPr>
          <w:rFonts w:asciiTheme="minorHAnsi" w:hAnsiTheme="minorHAnsi" w:cstheme="minorHAnsi"/>
          <w:lang w:val="en-AU"/>
        </w:rPr>
        <w:t xml:space="preserve">being </w:t>
      </w:r>
      <w:r w:rsidR="00B83A08">
        <w:rPr>
          <w:rFonts w:asciiTheme="minorHAnsi" w:hAnsiTheme="minorHAnsi" w:cstheme="minorHAnsi"/>
          <w:lang w:val="en-AU"/>
        </w:rPr>
        <w:t xml:space="preserve">allocated to Long </w:t>
      </w:r>
      <w:r w:rsidR="00F9793D">
        <w:rPr>
          <w:rFonts w:asciiTheme="minorHAnsi" w:hAnsiTheme="minorHAnsi" w:cstheme="minorHAnsi"/>
          <w:lang w:val="en-AU"/>
        </w:rPr>
        <w:t>COVID</w:t>
      </w:r>
      <w:r w:rsidR="00B83A08">
        <w:rPr>
          <w:rFonts w:asciiTheme="minorHAnsi" w:hAnsiTheme="minorHAnsi" w:cstheme="minorHAnsi"/>
          <w:lang w:val="en-AU"/>
        </w:rPr>
        <w:t xml:space="preserve"> internationally, </w:t>
      </w:r>
      <w:r w:rsidR="00674B01">
        <w:rPr>
          <w:rFonts w:asciiTheme="minorHAnsi" w:hAnsiTheme="minorHAnsi" w:cstheme="minorHAnsi"/>
          <w:lang w:val="en-AU"/>
        </w:rPr>
        <w:t>the recently released Australian federal budget contained no</w:t>
      </w:r>
      <w:r w:rsidR="007572D9">
        <w:rPr>
          <w:rFonts w:asciiTheme="minorHAnsi" w:hAnsiTheme="minorHAnsi" w:cstheme="minorHAnsi"/>
          <w:lang w:val="en-AU"/>
        </w:rPr>
        <w:t xml:space="preserve"> provisions for Long </w:t>
      </w:r>
      <w:r w:rsidR="00F9793D">
        <w:rPr>
          <w:rFonts w:asciiTheme="minorHAnsi" w:hAnsiTheme="minorHAnsi" w:cstheme="minorHAnsi"/>
          <w:lang w:val="en-AU"/>
        </w:rPr>
        <w:t>COVID</w:t>
      </w:r>
      <w:r w:rsidR="007572D9">
        <w:rPr>
          <w:rFonts w:asciiTheme="minorHAnsi" w:hAnsiTheme="minorHAnsi" w:cstheme="minorHAnsi"/>
          <w:lang w:val="en-AU"/>
        </w:rPr>
        <w:t xml:space="preserve"> whatsoever. While $2.6 billion was dedicated to the country’s</w:t>
      </w:r>
      <w:r w:rsidR="00404718">
        <w:rPr>
          <w:rFonts w:asciiTheme="minorHAnsi" w:hAnsiTheme="minorHAnsi" w:cstheme="minorHAnsi"/>
          <w:lang w:val="en-AU"/>
        </w:rPr>
        <w:t xml:space="preserve"> </w:t>
      </w:r>
      <w:r w:rsidR="00F9793D">
        <w:rPr>
          <w:rFonts w:asciiTheme="minorHAnsi" w:hAnsiTheme="minorHAnsi" w:cstheme="minorHAnsi"/>
          <w:lang w:val="en-AU"/>
        </w:rPr>
        <w:t>COVID</w:t>
      </w:r>
      <w:r w:rsidR="00404718">
        <w:rPr>
          <w:rFonts w:asciiTheme="minorHAnsi" w:hAnsiTheme="minorHAnsi" w:cstheme="minorHAnsi"/>
          <w:lang w:val="en-AU"/>
        </w:rPr>
        <w:t>-19 response, this will largely be spent on PPE and access to vaccines and treatments for at-risk cohorts.</w:t>
      </w:r>
      <w:r w:rsidR="00F23A8D">
        <w:rPr>
          <w:rFonts w:asciiTheme="minorHAnsi" w:hAnsiTheme="minorHAnsi" w:cstheme="minorHAnsi"/>
          <w:lang w:val="en-AU"/>
        </w:rPr>
        <w:t xml:space="preserve"> This lack of dedicated funding is disappointing, a sentiment echoed by Senator Jordan Steele-John</w:t>
      </w:r>
      <w:r w:rsidR="00FC4A88">
        <w:rPr>
          <w:rFonts w:asciiTheme="minorHAnsi" w:hAnsiTheme="minorHAnsi" w:cstheme="minorHAnsi"/>
          <w:lang w:val="en-AU"/>
        </w:rPr>
        <w:t>, who stated:</w:t>
      </w:r>
    </w:p>
    <w:p w14:paraId="59F7C64C" w14:textId="3B2C37D8" w:rsidR="001C1F55" w:rsidRPr="004D58A6" w:rsidRDefault="00FC4A88" w:rsidP="004D58A6">
      <w:pPr>
        <w:pStyle w:val="ListParagraph"/>
        <w:numPr>
          <w:ilvl w:val="0"/>
          <w:numId w:val="0"/>
        </w:numPr>
        <w:ind w:left="720"/>
        <w:rPr>
          <w:rFonts w:asciiTheme="minorHAnsi" w:hAnsiTheme="minorHAnsi" w:cstheme="minorHAnsi"/>
          <w:lang w:val="en-AU"/>
        </w:rPr>
      </w:pPr>
      <w:r>
        <w:rPr>
          <w:rFonts w:asciiTheme="minorHAnsi" w:hAnsiTheme="minorHAnsi" w:cstheme="minorHAnsi"/>
          <w:lang w:val="en-AU"/>
        </w:rPr>
        <w:br/>
      </w:r>
      <w:r w:rsidRPr="00FC4A88">
        <w:rPr>
          <w:rFonts w:asciiTheme="minorHAnsi" w:hAnsiTheme="minorHAnsi" w:cstheme="minorHAnsi"/>
          <w:i/>
          <w:iCs/>
          <w:lang w:val="en-AU"/>
        </w:rPr>
        <w:t xml:space="preserve">Long </w:t>
      </w:r>
      <w:r w:rsidR="00F9793D">
        <w:rPr>
          <w:rFonts w:asciiTheme="minorHAnsi" w:hAnsiTheme="minorHAnsi" w:cstheme="minorHAnsi"/>
          <w:i/>
          <w:iCs/>
          <w:lang w:val="en-AU"/>
        </w:rPr>
        <w:t>COVID</w:t>
      </w:r>
      <w:r w:rsidRPr="00FC4A88">
        <w:rPr>
          <w:rFonts w:asciiTheme="minorHAnsi" w:hAnsiTheme="minorHAnsi" w:cstheme="minorHAnsi"/>
          <w:i/>
          <w:iCs/>
          <w:lang w:val="en-AU"/>
        </w:rPr>
        <w:t xml:space="preserve"> is impacting so many in our Australian community right now — it is a debilitating illness. What is needed from the government is urgent action. That urgent action was nowhere to be seen in the budget.</w:t>
      </w:r>
      <w:r>
        <w:rPr>
          <w:rStyle w:val="FootnoteReference"/>
          <w:rFonts w:asciiTheme="minorHAnsi" w:hAnsiTheme="minorHAnsi" w:cstheme="minorHAnsi"/>
          <w:i/>
          <w:iCs/>
          <w:lang w:val="en-AU"/>
        </w:rPr>
        <w:footnoteReference w:id="36"/>
      </w:r>
    </w:p>
    <w:p w14:paraId="015A503E" w14:textId="5499DCCB" w:rsidR="00A23227" w:rsidRDefault="00A23227" w:rsidP="0020048B">
      <w:pPr>
        <w:rPr>
          <w:rFonts w:asciiTheme="minorHAnsi" w:hAnsiTheme="minorHAnsi" w:cstheme="minorHAnsi"/>
          <w:b/>
          <w:bCs/>
          <w:lang w:val="en-AU"/>
        </w:rPr>
      </w:pPr>
    </w:p>
    <w:p w14:paraId="174F2D09" w14:textId="250F7B29" w:rsidR="005D7F46" w:rsidRDefault="00DD4425" w:rsidP="00A23227">
      <w:pPr>
        <w:rPr>
          <w:rFonts w:asciiTheme="minorHAnsi" w:hAnsiTheme="minorHAnsi" w:cstheme="minorHAnsi"/>
          <w:b/>
          <w:bCs/>
          <w:lang w:val="en-AU"/>
        </w:rPr>
      </w:pPr>
      <w:r>
        <w:rPr>
          <w:rFonts w:asciiTheme="minorHAnsi" w:hAnsiTheme="minorHAnsi" w:cstheme="minorHAnsi"/>
          <w:b/>
          <w:bCs/>
          <w:lang w:val="en-AU"/>
        </w:rPr>
        <w:t xml:space="preserve">People with disability </w:t>
      </w:r>
      <w:r w:rsidR="001A0F19">
        <w:rPr>
          <w:rFonts w:asciiTheme="minorHAnsi" w:hAnsiTheme="minorHAnsi" w:cstheme="minorHAnsi"/>
          <w:b/>
          <w:bCs/>
          <w:lang w:val="en-AU"/>
        </w:rPr>
        <w:t xml:space="preserve">are </w:t>
      </w:r>
      <w:r>
        <w:rPr>
          <w:rFonts w:asciiTheme="minorHAnsi" w:hAnsiTheme="minorHAnsi" w:cstheme="minorHAnsi"/>
          <w:b/>
          <w:bCs/>
          <w:lang w:val="en-AU"/>
        </w:rPr>
        <w:t>at greater risk</w:t>
      </w:r>
    </w:p>
    <w:p w14:paraId="5A6EF68C" w14:textId="53895491" w:rsidR="005D7F46" w:rsidRDefault="00190E3D" w:rsidP="00B95C54">
      <w:pPr>
        <w:pStyle w:val="ListParagraph"/>
        <w:numPr>
          <w:ilvl w:val="0"/>
          <w:numId w:val="14"/>
        </w:numPr>
        <w:rPr>
          <w:rFonts w:asciiTheme="minorHAnsi" w:hAnsiTheme="minorHAnsi" w:cstheme="minorHAnsi"/>
          <w:b/>
          <w:bCs/>
          <w:lang w:val="en-AU"/>
        </w:rPr>
      </w:pPr>
      <w:r>
        <w:rPr>
          <w:rFonts w:asciiTheme="minorHAnsi" w:hAnsiTheme="minorHAnsi" w:cstheme="minorHAnsi"/>
          <w:lang w:val="en-AU"/>
        </w:rPr>
        <w:t>Both the</w:t>
      </w:r>
      <w:r w:rsidR="00A0752F">
        <w:rPr>
          <w:rFonts w:asciiTheme="minorHAnsi" w:hAnsiTheme="minorHAnsi" w:cstheme="minorHAnsi"/>
          <w:lang w:val="en-AU"/>
        </w:rPr>
        <w:t xml:space="preserve"> </w:t>
      </w:r>
      <w:r w:rsidR="00F9793D">
        <w:rPr>
          <w:rFonts w:asciiTheme="minorHAnsi" w:hAnsiTheme="minorHAnsi" w:cstheme="minorHAnsi"/>
          <w:lang w:val="en-AU"/>
        </w:rPr>
        <w:t>COVID</w:t>
      </w:r>
      <w:r w:rsidR="00A0752F">
        <w:rPr>
          <w:rFonts w:asciiTheme="minorHAnsi" w:hAnsiTheme="minorHAnsi" w:cstheme="minorHAnsi"/>
          <w:lang w:val="en-AU"/>
        </w:rPr>
        <w:t xml:space="preserve">-19 pandemic </w:t>
      </w:r>
      <w:r w:rsidR="0079140B">
        <w:rPr>
          <w:rFonts w:asciiTheme="minorHAnsi" w:hAnsiTheme="minorHAnsi" w:cstheme="minorHAnsi"/>
          <w:lang w:val="en-AU"/>
        </w:rPr>
        <w:t xml:space="preserve">and Long </w:t>
      </w:r>
      <w:r w:rsidR="00F9793D">
        <w:rPr>
          <w:rFonts w:asciiTheme="minorHAnsi" w:hAnsiTheme="minorHAnsi" w:cstheme="minorHAnsi"/>
          <w:lang w:val="en-AU"/>
        </w:rPr>
        <w:t>COVID</w:t>
      </w:r>
      <w:r w:rsidR="0079140B">
        <w:rPr>
          <w:rFonts w:asciiTheme="minorHAnsi" w:hAnsiTheme="minorHAnsi" w:cstheme="minorHAnsi"/>
          <w:lang w:val="en-AU"/>
        </w:rPr>
        <w:t xml:space="preserve"> </w:t>
      </w:r>
      <w:r>
        <w:rPr>
          <w:rFonts w:asciiTheme="minorHAnsi" w:hAnsiTheme="minorHAnsi" w:cstheme="minorHAnsi"/>
          <w:lang w:val="en-AU"/>
        </w:rPr>
        <w:t>have</w:t>
      </w:r>
      <w:r w:rsidR="00A0752F">
        <w:rPr>
          <w:rFonts w:asciiTheme="minorHAnsi" w:hAnsiTheme="minorHAnsi" w:cstheme="minorHAnsi"/>
          <w:lang w:val="en-AU"/>
        </w:rPr>
        <w:t xml:space="preserve"> disproportionately affected</w:t>
      </w:r>
      <w:r w:rsidR="00D21C88">
        <w:rPr>
          <w:rFonts w:asciiTheme="minorHAnsi" w:hAnsiTheme="minorHAnsi" w:cstheme="minorHAnsi"/>
          <w:lang w:val="en-AU"/>
        </w:rPr>
        <w:t xml:space="preserve"> vulnerable and marginalised populations, including people with disability.</w:t>
      </w:r>
      <w:r w:rsidR="003B351D">
        <w:rPr>
          <w:rStyle w:val="FootnoteReference"/>
          <w:rFonts w:asciiTheme="minorHAnsi" w:hAnsiTheme="minorHAnsi" w:cstheme="minorHAnsi"/>
          <w:lang w:val="en-AU"/>
        </w:rPr>
        <w:footnoteReference w:id="37"/>
      </w:r>
      <w:r w:rsidR="005E42CF">
        <w:rPr>
          <w:rFonts w:asciiTheme="minorHAnsi" w:hAnsiTheme="minorHAnsi" w:cstheme="minorHAnsi"/>
          <w:lang w:val="en-AU"/>
        </w:rPr>
        <w:t xml:space="preserve"> This effect has been magnified by recent decisions to remove public health provisions such as mask man</w:t>
      </w:r>
      <w:r w:rsidR="00704C49">
        <w:rPr>
          <w:rFonts w:asciiTheme="minorHAnsi" w:hAnsiTheme="minorHAnsi" w:cstheme="minorHAnsi"/>
          <w:lang w:val="en-AU"/>
        </w:rPr>
        <w:t>dates, social distancing, and mandatory quarantine</w:t>
      </w:r>
      <w:r w:rsidR="003B351D">
        <w:rPr>
          <w:rFonts w:asciiTheme="minorHAnsi" w:hAnsiTheme="minorHAnsi" w:cstheme="minorHAnsi"/>
          <w:lang w:val="en-AU"/>
        </w:rPr>
        <w:t xml:space="preserve">, placing people with </w:t>
      </w:r>
      <w:r w:rsidR="005B0E1A">
        <w:rPr>
          <w:rFonts w:asciiTheme="minorHAnsi" w:hAnsiTheme="minorHAnsi" w:cstheme="minorHAnsi"/>
          <w:lang w:val="en-AU"/>
        </w:rPr>
        <w:t>disability at even greater risk.</w:t>
      </w:r>
      <w:r w:rsidR="00DD4425">
        <w:rPr>
          <w:rFonts w:asciiTheme="minorHAnsi" w:hAnsiTheme="minorHAnsi" w:cstheme="minorHAnsi"/>
          <w:b/>
          <w:bCs/>
          <w:lang w:val="en-AU"/>
        </w:rPr>
        <w:br/>
      </w:r>
    </w:p>
    <w:p w14:paraId="1FF9A6C6" w14:textId="77777777" w:rsidR="005B0E1A" w:rsidRDefault="005B0E1A" w:rsidP="005B0E1A">
      <w:pPr>
        <w:pStyle w:val="ListParagraph"/>
        <w:numPr>
          <w:ilvl w:val="0"/>
          <w:numId w:val="0"/>
        </w:numPr>
        <w:ind w:left="360"/>
        <w:rPr>
          <w:rFonts w:asciiTheme="minorHAnsi" w:hAnsiTheme="minorHAnsi" w:cstheme="minorHAnsi"/>
          <w:b/>
          <w:bCs/>
          <w:lang w:val="en-AU"/>
        </w:rPr>
      </w:pPr>
    </w:p>
    <w:p w14:paraId="0C930DC3" w14:textId="77777777" w:rsidR="005B0E1A" w:rsidRPr="00DD4425" w:rsidRDefault="005B0E1A" w:rsidP="005B0E1A">
      <w:pPr>
        <w:pStyle w:val="ListParagraph"/>
        <w:numPr>
          <w:ilvl w:val="0"/>
          <w:numId w:val="0"/>
        </w:numPr>
        <w:ind w:left="360"/>
        <w:rPr>
          <w:rFonts w:asciiTheme="minorHAnsi" w:hAnsiTheme="minorHAnsi" w:cstheme="minorHAnsi"/>
          <w:b/>
          <w:bCs/>
          <w:lang w:val="en-AU"/>
        </w:rPr>
      </w:pPr>
    </w:p>
    <w:p w14:paraId="0EF6F1CC" w14:textId="3FA1A490" w:rsidR="00A23227" w:rsidRPr="00932D5D" w:rsidRDefault="00A23227" w:rsidP="00A23227">
      <w:pPr>
        <w:rPr>
          <w:rFonts w:asciiTheme="minorHAnsi" w:hAnsiTheme="minorHAnsi" w:cstheme="minorHAnsi"/>
          <w:b/>
          <w:bCs/>
          <w:lang w:val="en-AU"/>
        </w:rPr>
      </w:pPr>
      <w:r w:rsidRPr="00932D5D">
        <w:rPr>
          <w:rFonts w:asciiTheme="minorHAnsi" w:hAnsiTheme="minorHAnsi" w:cstheme="minorHAnsi"/>
          <w:b/>
          <w:bCs/>
          <w:lang w:val="en-AU"/>
        </w:rPr>
        <w:lastRenderedPageBreak/>
        <w:t xml:space="preserve">Long </w:t>
      </w:r>
      <w:r w:rsidR="00F9793D">
        <w:rPr>
          <w:rFonts w:asciiTheme="minorHAnsi" w:hAnsiTheme="minorHAnsi" w:cstheme="minorHAnsi"/>
          <w:b/>
          <w:bCs/>
          <w:lang w:val="en-AU"/>
        </w:rPr>
        <w:t>COVID</w:t>
      </w:r>
      <w:r w:rsidRPr="00932D5D">
        <w:rPr>
          <w:rFonts w:asciiTheme="minorHAnsi" w:hAnsiTheme="minorHAnsi" w:cstheme="minorHAnsi"/>
          <w:b/>
          <w:bCs/>
          <w:lang w:val="en-AU"/>
        </w:rPr>
        <w:t xml:space="preserve"> patients unable to access disability supports</w:t>
      </w:r>
    </w:p>
    <w:p w14:paraId="7766DD63" w14:textId="5F082577" w:rsidR="00452553" w:rsidRDefault="00DD4425" w:rsidP="00B95C54">
      <w:pPr>
        <w:pStyle w:val="ListParagraph"/>
        <w:numPr>
          <w:ilvl w:val="0"/>
          <w:numId w:val="13"/>
        </w:numPr>
        <w:rPr>
          <w:rFonts w:asciiTheme="minorHAnsi" w:hAnsiTheme="minorHAnsi" w:cstheme="minorHAnsi"/>
          <w:lang w:val="en-AU"/>
        </w:rPr>
      </w:pPr>
      <w:r>
        <w:rPr>
          <w:rFonts w:asciiTheme="minorHAnsi" w:hAnsiTheme="minorHAnsi" w:cstheme="minorHAnsi"/>
          <w:lang w:val="en-AU"/>
        </w:rPr>
        <w:t>Perhaps t</w:t>
      </w:r>
      <w:r w:rsidR="005D7F46" w:rsidRPr="005D7F46">
        <w:rPr>
          <w:rFonts w:asciiTheme="minorHAnsi" w:hAnsiTheme="minorHAnsi" w:cstheme="minorHAnsi"/>
          <w:lang w:val="en-AU"/>
        </w:rPr>
        <w:t>he most concerning</w:t>
      </w:r>
      <w:r>
        <w:rPr>
          <w:rFonts w:asciiTheme="minorHAnsi" w:hAnsiTheme="minorHAnsi" w:cstheme="minorHAnsi"/>
          <w:lang w:val="en-AU"/>
        </w:rPr>
        <w:t xml:space="preserve"> issue that AFDO would like to bring to the Committee’s attention is</w:t>
      </w:r>
      <w:r w:rsidR="00E42038">
        <w:rPr>
          <w:rFonts w:asciiTheme="minorHAnsi" w:hAnsiTheme="minorHAnsi" w:cstheme="minorHAnsi"/>
          <w:lang w:val="en-AU"/>
        </w:rPr>
        <w:t xml:space="preserve"> the </w:t>
      </w:r>
      <w:r w:rsidR="008D0821">
        <w:rPr>
          <w:rFonts w:asciiTheme="minorHAnsi" w:hAnsiTheme="minorHAnsi" w:cstheme="minorHAnsi"/>
          <w:lang w:val="en-AU"/>
        </w:rPr>
        <w:t xml:space="preserve">inability of Long </w:t>
      </w:r>
      <w:r w:rsidR="00F9793D">
        <w:rPr>
          <w:rFonts w:asciiTheme="minorHAnsi" w:hAnsiTheme="minorHAnsi" w:cstheme="minorHAnsi"/>
          <w:lang w:val="en-AU"/>
        </w:rPr>
        <w:t>COVID</w:t>
      </w:r>
      <w:r w:rsidR="008D0821">
        <w:rPr>
          <w:rFonts w:asciiTheme="minorHAnsi" w:hAnsiTheme="minorHAnsi" w:cstheme="minorHAnsi"/>
          <w:lang w:val="en-AU"/>
        </w:rPr>
        <w:t xml:space="preserve"> patients to access mainstream disability supports, </w:t>
      </w:r>
      <w:proofErr w:type="gramStart"/>
      <w:r w:rsidR="008D0821">
        <w:rPr>
          <w:rFonts w:asciiTheme="minorHAnsi" w:hAnsiTheme="minorHAnsi" w:cstheme="minorHAnsi"/>
          <w:lang w:val="en-AU"/>
        </w:rPr>
        <w:t>in particular the</w:t>
      </w:r>
      <w:proofErr w:type="gramEnd"/>
      <w:r w:rsidR="008D0821">
        <w:rPr>
          <w:rFonts w:asciiTheme="minorHAnsi" w:hAnsiTheme="minorHAnsi" w:cstheme="minorHAnsi"/>
          <w:lang w:val="en-AU"/>
        </w:rPr>
        <w:t xml:space="preserve"> Disability Support Pension (DSP) and the National Disability Insurance Scheme (NDIS). </w:t>
      </w:r>
      <w:r w:rsidR="002767B0">
        <w:rPr>
          <w:rFonts w:asciiTheme="minorHAnsi" w:hAnsiTheme="minorHAnsi" w:cstheme="minorHAnsi"/>
          <w:lang w:val="en-AU"/>
        </w:rPr>
        <w:t xml:space="preserve">Long </w:t>
      </w:r>
      <w:r w:rsidR="00F9793D">
        <w:rPr>
          <w:rFonts w:asciiTheme="minorHAnsi" w:hAnsiTheme="minorHAnsi" w:cstheme="minorHAnsi"/>
          <w:lang w:val="en-AU"/>
        </w:rPr>
        <w:t>COVID</w:t>
      </w:r>
      <w:r w:rsidR="002767B0">
        <w:rPr>
          <w:rFonts w:asciiTheme="minorHAnsi" w:hAnsiTheme="minorHAnsi" w:cstheme="minorHAnsi"/>
          <w:lang w:val="en-AU"/>
        </w:rPr>
        <w:t xml:space="preserve"> can be incredibly disabling, leaving individuals </w:t>
      </w:r>
      <w:r w:rsidR="001C37CC">
        <w:rPr>
          <w:rFonts w:asciiTheme="minorHAnsi" w:hAnsiTheme="minorHAnsi" w:cstheme="minorHAnsi"/>
          <w:lang w:val="en-AU"/>
        </w:rPr>
        <w:t>unable to work or complete the basic activities of daily life.</w:t>
      </w:r>
      <w:r w:rsidR="009C07A7">
        <w:rPr>
          <w:rFonts w:asciiTheme="minorHAnsi" w:hAnsiTheme="minorHAnsi" w:cstheme="minorHAnsi"/>
          <w:lang w:val="en-AU"/>
        </w:rPr>
        <w:t xml:space="preserve"> </w:t>
      </w:r>
      <w:proofErr w:type="gramStart"/>
      <w:r w:rsidR="009C07A7">
        <w:rPr>
          <w:rFonts w:asciiTheme="minorHAnsi" w:hAnsiTheme="minorHAnsi" w:cstheme="minorHAnsi"/>
          <w:lang w:val="en-AU"/>
        </w:rPr>
        <w:t>In order to</w:t>
      </w:r>
      <w:proofErr w:type="gramEnd"/>
      <w:r w:rsidR="009C07A7">
        <w:rPr>
          <w:rFonts w:asciiTheme="minorHAnsi" w:hAnsiTheme="minorHAnsi" w:cstheme="minorHAnsi"/>
          <w:lang w:val="en-AU"/>
        </w:rPr>
        <w:t xml:space="preserve"> access the DSP</w:t>
      </w:r>
      <w:r w:rsidR="00056773">
        <w:rPr>
          <w:rFonts w:asciiTheme="minorHAnsi" w:hAnsiTheme="minorHAnsi" w:cstheme="minorHAnsi"/>
          <w:lang w:val="en-AU"/>
        </w:rPr>
        <w:t xml:space="preserve"> or NDIS, individuals living with Long </w:t>
      </w:r>
      <w:r w:rsidR="00F9793D">
        <w:rPr>
          <w:rFonts w:asciiTheme="minorHAnsi" w:hAnsiTheme="minorHAnsi" w:cstheme="minorHAnsi"/>
          <w:lang w:val="en-AU"/>
        </w:rPr>
        <w:t>COVID</w:t>
      </w:r>
      <w:r w:rsidR="00056773">
        <w:rPr>
          <w:rFonts w:asciiTheme="minorHAnsi" w:hAnsiTheme="minorHAnsi" w:cstheme="minorHAnsi"/>
          <w:lang w:val="en-AU"/>
        </w:rPr>
        <w:t xml:space="preserve"> must</w:t>
      </w:r>
      <w:r w:rsidR="00CB14A2">
        <w:rPr>
          <w:rFonts w:asciiTheme="minorHAnsi" w:hAnsiTheme="minorHAnsi" w:cstheme="minorHAnsi"/>
          <w:lang w:val="en-AU"/>
        </w:rPr>
        <w:t xml:space="preserve"> prove that they fit the detailed and stringent criteria</w:t>
      </w:r>
      <w:r w:rsidR="00452553">
        <w:rPr>
          <w:rFonts w:asciiTheme="minorHAnsi" w:hAnsiTheme="minorHAnsi" w:cstheme="minorHAnsi"/>
          <w:lang w:val="en-AU"/>
        </w:rPr>
        <w:t xml:space="preserve"> of each</w:t>
      </w:r>
      <w:r w:rsidR="00FC74FC">
        <w:rPr>
          <w:rFonts w:asciiTheme="minorHAnsi" w:hAnsiTheme="minorHAnsi" w:cstheme="minorHAnsi"/>
          <w:lang w:val="en-AU"/>
        </w:rPr>
        <w:t xml:space="preserve"> – a nearly impossible task</w:t>
      </w:r>
      <w:r w:rsidR="009746E9">
        <w:rPr>
          <w:rFonts w:asciiTheme="minorHAnsi" w:hAnsiTheme="minorHAnsi" w:cstheme="minorHAnsi"/>
          <w:lang w:val="en-AU"/>
        </w:rPr>
        <w:t xml:space="preserve">. </w:t>
      </w:r>
      <w:r w:rsidR="00452553">
        <w:rPr>
          <w:rFonts w:asciiTheme="minorHAnsi" w:hAnsiTheme="minorHAnsi" w:cstheme="minorHAnsi"/>
          <w:lang w:val="en-AU"/>
        </w:rPr>
        <w:br/>
      </w:r>
    </w:p>
    <w:p w14:paraId="2DB835DC" w14:textId="5D71E583" w:rsidR="00A23227" w:rsidRPr="005D7F46" w:rsidRDefault="009746E9" w:rsidP="00B95C54">
      <w:pPr>
        <w:pStyle w:val="ListParagraph"/>
        <w:numPr>
          <w:ilvl w:val="0"/>
          <w:numId w:val="13"/>
        </w:numPr>
        <w:rPr>
          <w:rFonts w:asciiTheme="minorHAnsi" w:hAnsiTheme="minorHAnsi" w:cstheme="minorHAnsi"/>
          <w:lang w:val="en-AU"/>
        </w:rPr>
      </w:pPr>
      <w:r>
        <w:rPr>
          <w:rFonts w:asciiTheme="minorHAnsi" w:hAnsiTheme="minorHAnsi" w:cstheme="minorHAnsi"/>
          <w:lang w:val="en-AU"/>
        </w:rPr>
        <w:t xml:space="preserve">While AFDO has </w:t>
      </w:r>
      <w:r w:rsidR="00A74029">
        <w:rPr>
          <w:rFonts w:asciiTheme="minorHAnsi" w:hAnsiTheme="minorHAnsi" w:cstheme="minorHAnsi"/>
          <w:lang w:val="en-AU"/>
        </w:rPr>
        <w:t xml:space="preserve">previously criticised the DSP as being insufficient, the denial of even this </w:t>
      </w:r>
      <w:r w:rsidR="0066627B">
        <w:rPr>
          <w:rFonts w:asciiTheme="minorHAnsi" w:hAnsiTheme="minorHAnsi" w:cstheme="minorHAnsi"/>
          <w:lang w:val="en-AU"/>
        </w:rPr>
        <w:t xml:space="preserve">meagre financial support </w:t>
      </w:r>
      <w:r w:rsidR="00E63058">
        <w:rPr>
          <w:rFonts w:asciiTheme="minorHAnsi" w:hAnsiTheme="minorHAnsi" w:cstheme="minorHAnsi"/>
          <w:lang w:val="en-AU"/>
        </w:rPr>
        <w:t xml:space="preserve">to Long </w:t>
      </w:r>
      <w:r w:rsidR="00F9793D">
        <w:rPr>
          <w:rFonts w:asciiTheme="minorHAnsi" w:hAnsiTheme="minorHAnsi" w:cstheme="minorHAnsi"/>
          <w:lang w:val="en-AU"/>
        </w:rPr>
        <w:t>COVID</w:t>
      </w:r>
      <w:r w:rsidR="00E63058">
        <w:rPr>
          <w:rFonts w:asciiTheme="minorHAnsi" w:hAnsiTheme="minorHAnsi" w:cstheme="minorHAnsi"/>
          <w:lang w:val="en-AU"/>
        </w:rPr>
        <w:t xml:space="preserve"> patients </w:t>
      </w:r>
      <w:r w:rsidR="0066627B">
        <w:rPr>
          <w:rFonts w:asciiTheme="minorHAnsi" w:hAnsiTheme="minorHAnsi" w:cstheme="minorHAnsi"/>
          <w:lang w:val="en-AU"/>
        </w:rPr>
        <w:t xml:space="preserve">will condemn many </w:t>
      </w:r>
      <w:r w:rsidR="00E63058">
        <w:rPr>
          <w:rFonts w:asciiTheme="minorHAnsi" w:hAnsiTheme="minorHAnsi" w:cstheme="minorHAnsi"/>
          <w:lang w:val="en-AU"/>
        </w:rPr>
        <w:t xml:space="preserve">of them to poverty, </w:t>
      </w:r>
      <w:r w:rsidR="00DB62C9">
        <w:rPr>
          <w:rFonts w:asciiTheme="minorHAnsi" w:hAnsiTheme="minorHAnsi" w:cstheme="minorHAnsi"/>
          <w:lang w:val="en-AU"/>
        </w:rPr>
        <w:t>and subsequent negative consequences for their health and every other aspect of their li</w:t>
      </w:r>
      <w:r w:rsidR="00C90CE0">
        <w:rPr>
          <w:rFonts w:asciiTheme="minorHAnsi" w:hAnsiTheme="minorHAnsi" w:cstheme="minorHAnsi"/>
          <w:lang w:val="en-AU"/>
        </w:rPr>
        <w:t xml:space="preserve">ves. Given that Long </w:t>
      </w:r>
      <w:r w:rsidR="00F9793D">
        <w:rPr>
          <w:rFonts w:asciiTheme="minorHAnsi" w:hAnsiTheme="minorHAnsi" w:cstheme="minorHAnsi"/>
          <w:lang w:val="en-AU"/>
        </w:rPr>
        <w:t>COVID</w:t>
      </w:r>
      <w:r w:rsidR="00C90CE0">
        <w:rPr>
          <w:rFonts w:asciiTheme="minorHAnsi" w:hAnsiTheme="minorHAnsi" w:cstheme="minorHAnsi"/>
          <w:lang w:val="en-AU"/>
        </w:rPr>
        <w:t xml:space="preserve"> so clearly constitutes a disability under the CRPD, to which Australia is signatory, AFDO </w:t>
      </w:r>
      <w:r w:rsidR="002A1EF7">
        <w:rPr>
          <w:rFonts w:asciiTheme="minorHAnsi" w:hAnsiTheme="minorHAnsi" w:cstheme="minorHAnsi"/>
          <w:lang w:val="en-AU"/>
        </w:rPr>
        <w:t xml:space="preserve">must consider this abandonment of Long </w:t>
      </w:r>
      <w:r w:rsidR="00F9793D">
        <w:rPr>
          <w:rFonts w:asciiTheme="minorHAnsi" w:hAnsiTheme="minorHAnsi" w:cstheme="minorHAnsi"/>
          <w:lang w:val="en-AU"/>
        </w:rPr>
        <w:t>COVID</w:t>
      </w:r>
      <w:r w:rsidR="002A1EF7">
        <w:rPr>
          <w:rFonts w:asciiTheme="minorHAnsi" w:hAnsiTheme="minorHAnsi" w:cstheme="minorHAnsi"/>
          <w:lang w:val="en-AU"/>
        </w:rPr>
        <w:t xml:space="preserve"> patients as not only unconscionable, but </w:t>
      </w:r>
      <w:r w:rsidR="00452553">
        <w:rPr>
          <w:rFonts w:asciiTheme="minorHAnsi" w:hAnsiTheme="minorHAnsi" w:cstheme="minorHAnsi"/>
          <w:lang w:val="en-AU"/>
        </w:rPr>
        <w:t>a</w:t>
      </w:r>
      <w:r w:rsidR="002A1EF7">
        <w:rPr>
          <w:rFonts w:asciiTheme="minorHAnsi" w:hAnsiTheme="minorHAnsi" w:cstheme="minorHAnsi"/>
          <w:lang w:val="en-AU"/>
        </w:rPr>
        <w:t xml:space="preserve"> violation </w:t>
      </w:r>
      <w:r w:rsidR="002B17C1">
        <w:rPr>
          <w:rFonts w:asciiTheme="minorHAnsi" w:hAnsiTheme="minorHAnsi" w:cstheme="minorHAnsi"/>
          <w:lang w:val="en-AU"/>
        </w:rPr>
        <w:t>of international human rights law.</w:t>
      </w:r>
    </w:p>
    <w:p w14:paraId="44233F16" w14:textId="77777777" w:rsidR="00A23227" w:rsidRDefault="00A23227" w:rsidP="0020048B">
      <w:pPr>
        <w:rPr>
          <w:rFonts w:asciiTheme="minorHAnsi" w:hAnsiTheme="minorHAnsi" w:cstheme="minorHAnsi"/>
          <w:b/>
          <w:bCs/>
          <w:lang w:val="en-AU"/>
        </w:rPr>
      </w:pPr>
    </w:p>
    <w:p w14:paraId="3358D5D2" w14:textId="77777777" w:rsidR="00A23227" w:rsidRDefault="00A23227" w:rsidP="0020048B">
      <w:pPr>
        <w:rPr>
          <w:rFonts w:asciiTheme="minorHAnsi" w:hAnsiTheme="minorHAnsi" w:cstheme="minorHAnsi"/>
          <w:b/>
          <w:bCs/>
          <w:lang w:val="en-AU"/>
        </w:rPr>
      </w:pPr>
    </w:p>
    <w:p w14:paraId="27F3A543" w14:textId="77777777" w:rsidR="001B5CF1" w:rsidRDefault="001B5CF1" w:rsidP="00885E70">
      <w:pPr>
        <w:rPr>
          <w:rFonts w:asciiTheme="minorHAnsi" w:hAnsiTheme="minorHAnsi" w:cstheme="minorHAnsi"/>
          <w:b/>
          <w:bCs/>
          <w:lang w:val="en-AU"/>
        </w:rPr>
      </w:pPr>
    </w:p>
    <w:p w14:paraId="6DF433D6" w14:textId="77777777" w:rsidR="001A22F1" w:rsidRDefault="001A22F1" w:rsidP="00885E70">
      <w:pPr>
        <w:rPr>
          <w:rFonts w:asciiTheme="minorHAnsi" w:hAnsiTheme="minorHAnsi" w:cstheme="minorHAnsi"/>
          <w:b/>
          <w:bCs/>
          <w:lang w:val="en-AU"/>
        </w:rPr>
      </w:pPr>
    </w:p>
    <w:p w14:paraId="412B9F9D" w14:textId="03475A4F" w:rsidR="00A15577" w:rsidRDefault="00A15577" w:rsidP="00885E70">
      <w:pPr>
        <w:rPr>
          <w:rFonts w:asciiTheme="minorHAnsi" w:hAnsiTheme="minorHAnsi" w:cstheme="minorHAnsi"/>
          <w:b/>
          <w:bCs/>
          <w:lang w:val="en-AU"/>
        </w:rPr>
      </w:pPr>
    </w:p>
    <w:p w14:paraId="03E43DD3" w14:textId="6624871D" w:rsidR="002C559C" w:rsidRDefault="002C559C" w:rsidP="00885E70">
      <w:pPr>
        <w:rPr>
          <w:rFonts w:asciiTheme="minorHAnsi" w:hAnsiTheme="minorHAnsi" w:cstheme="minorHAnsi"/>
          <w:b/>
          <w:bCs/>
          <w:lang w:val="en-AU"/>
        </w:rPr>
      </w:pPr>
    </w:p>
    <w:p w14:paraId="582512CB" w14:textId="214ED4D5" w:rsidR="002C559C" w:rsidRDefault="002C559C" w:rsidP="00885E70">
      <w:pPr>
        <w:rPr>
          <w:rFonts w:asciiTheme="minorHAnsi" w:hAnsiTheme="minorHAnsi" w:cstheme="minorHAnsi"/>
          <w:b/>
          <w:bCs/>
          <w:lang w:val="en-AU"/>
        </w:rPr>
      </w:pPr>
    </w:p>
    <w:p w14:paraId="400F444E" w14:textId="24BC3543" w:rsidR="00DE3E36" w:rsidRDefault="00DE3E36" w:rsidP="00885E70">
      <w:pPr>
        <w:rPr>
          <w:rFonts w:asciiTheme="minorHAnsi" w:hAnsiTheme="minorHAnsi" w:cstheme="minorHAnsi"/>
          <w:b/>
          <w:bCs/>
          <w:lang w:val="en-AU"/>
        </w:rPr>
      </w:pPr>
    </w:p>
    <w:p w14:paraId="7D1FBE96" w14:textId="77777777" w:rsidR="001B5CF1" w:rsidRDefault="001B5CF1" w:rsidP="00885E70">
      <w:pPr>
        <w:rPr>
          <w:rFonts w:asciiTheme="minorHAnsi" w:hAnsiTheme="minorHAnsi" w:cstheme="minorHAnsi"/>
          <w:b/>
          <w:bCs/>
          <w:lang w:val="en-AU"/>
        </w:rPr>
      </w:pPr>
    </w:p>
    <w:p w14:paraId="5C36EDCF" w14:textId="424E02D4" w:rsidR="00D15035" w:rsidRPr="00A91A00" w:rsidRDefault="00D15035" w:rsidP="00885E70">
      <w:pPr>
        <w:rPr>
          <w:rFonts w:asciiTheme="minorHAnsi" w:hAnsiTheme="minorHAnsi" w:cstheme="minorHAnsi"/>
          <w:lang w:val="en-AU"/>
        </w:rPr>
      </w:pPr>
    </w:p>
    <w:p w14:paraId="45CF56AF" w14:textId="3E3D3EFB" w:rsidR="00D15035" w:rsidRPr="00A91A00" w:rsidRDefault="00D15035" w:rsidP="00885E70">
      <w:pPr>
        <w:rPr>
          <w:rFonts w:asciiTheme="minorHAnsi" w:hAnsiTheme="minorHAnsi" w:cstheme="minorHAnsi"/>
          <w:lang w:val="en-AU"/>
        </w:rPr>
      </w:pPr>
    </w:p>
    <w:p w14:paraId="4EA600FE" w14:textId="5180F9FF" w:rsidR="00D15035" w:rsidRPr="00A91A00" w:rsidRDefault="00D15035" w:rsidP="00885E70">
      <w:pPr>
        <w:rPr>
          <w:rFonts w:asciiTheme="minorHAnsi" w:hAnsiTheme="minorHAnsi" w:cstheme="minorHAnsi"/>
          <w:lang w:val="en-AU"/>
        </w:rPr>
      </w:pPr>
    </w:p>
    <w:p w14:paraId="54BB497C" w14:textId="2FFEF0BD" w:rsidR="007F3DF5" w:rsidRPr="00A91A00" w:rsidRDefault="007F3DF5" w:rsidP="0043611F">
      <w:pPr>
        <w:rPr>
          <w:rFonts w:asciiTheme="minorHAnsi" w:hAnsiTheme="minorHAnsi" w:cstheme="minorHAnsi"/>
          <w:lang w:val="en-AU"/>
        </w:rPr>
      </w:pPr>
    </w:p>
    <w:p w14:paraId="62666291" w14:textId="0CE041B3" w:rsidR="007F3DF5" w:rsidRPr="00A91A00" w:rsidRDefault="007F3DF5" w:rsidP="0043611F">
      <w:pPr>
        <w:rPr>
          <w:rFonts w:asciiTheme="minorHAnsi" w:hAnsiTheme="minorHAnsi" w:cstheme="minorHAnsi"/>
          <w:lang w:val="en-AU"/>
        </w:rPr>
      </w:pPr>
    </w:p>
    <w:p w14:paraId="12452E85" w14:textId="03166A87" w:rsidR="007F3DF5" w:rsidRPr="00A91A00" w:rsidRDefault="007F3DF5" w:rsidP="0043611F">
      <w:pPr>
        <w:rPr>
          <w:rFonts w:asciiTheme="minorHAnsi" w:hAnsiTheme="minorHAnsi" w:cstheme="minorHAnsi"/>
          <w:lang w:val="en-AU"/>
        </w:rPr>
      </w:pPr>
    </w:p>
    <w:p w14:paraId="63A8D911" w14:textId="4E815ABE" w:rsidR="007F3DF5" w:rsidRPr="00A91A00" w:rsidRDefault="007F3DF5" w:rsidP="0043611F">
      <w:pPr>
        <w:rPr>
          <w:rFonts w:asciiTheme="minorHAnsi" w:hAnsiTheme="minorHAnsi" w:cstheme="minorHAnsi"/>
          <w:lang w:val="en-AU"/>
        </w:rPr>
      </w:pPr>
    </w:p>
    <w:p w14:paraId="538312CC" w14:textId="55FB53BA" w:rsidR="003A692C" w:rsidRDefault="00CB622D" w:rsidP="004319C6">
      <w:pPr>
        <w:pStyle w:val="HeadingNew"/>
        <w:rPr>
          <w:lang w:val="en-AU"/>
        </w:rPr>
      </w:pPr>
      <w:r>
        <w:rPr>
          <w:lang w:val="en-AU"/>
        </w:rPr>
        <w:lastRenderedPageBreak/>
        <w:t>R</w:t>
      </w:r>
      <w:r w:rsidR="004319C6">
        <w:rPr>
          <w:lang w:val="en-AU"/>
        </w:rPr>
        <w:t>ecommendations</w:t>
      </w:r>
    </w:p>
    <w:p w14:paraId="4AA8913B" w14:textId="77777777" w:rsidR="00FB259A" w:rsidRDefault="00C130E9" w:rsidP="0043611F">
      <w:pPr>
        <w:rPr>
          <w:rFonts w:asciiTheme="minorHAnsi" w:hAnsiTheme="minorHAnsi" w:cstheme="minorHAnsi"/>
          <w:lang w:val="en-AU"/>
        </w:rPr>
      </w:pPr>
      <w:r>
        <w:rPr>
          <w:rFonts w:asciiTheme="minorHAnsi" w:hAnsiTheme="minorHAnsi" w:cstheme="minorHAnsi"/>
          <w:lang w:val="en-AU"/>
        </w:rPr>
        <w:t xml:space="preserve">There is growing international evidence supporting the </w:t>
      </w:r>
      <w:r w:rsidR="00416F86">
        <w:rPr>
          <w:rFonts w:asciiTheme="minorHAnsi" w:hAnsiTheme="minorHAnsi" w:cstheme="minorHAnsi"/>
          <w:lang w:val="en-AU"/>
        </w:rPr>
        <w:t xml:space="preserve">medical reality and impacts on people of Long </w:t>
      </w:r>
      <w:r w:rsidR="00F9793D">
        <w:rPr>
          <w:rFonts w:asciiTheme="minorHAnsi" w:hAnsiTheme="minorHAnsi" w:cstheme="minorHAnsi"/>
          <w:lang w:val="en-AU"/>
        </w:rPr>
        <w:t>COVID</w:t>
      </w:r>
      <w:r w:rsidR="00FB259A">
        <w:rPr>
          <w:rFonts w:asciiTheme="minorHAnsi" w:hAnsiTheme="minorHAnsi" w:cstheme="minorHAnsi"/>
          <w:lang w:val="en-AU"/>
        </w:rPr>
        <w:t>,</w:t>
      </w:r>
      <w:r w:rsidR="00E62DA6">
        <w:rPr>
          <w:rFonts w:asciiTheme="minorHAnsi" w:hAnsiTheme="minorHAnsi" w:cstheme="minorHAnsi"/>
          <w:lang w:val="en-AU"/>
        </w:rPr>
        <w:t xml:space="preserve"> with the c</w:t>
      </w:r>
      <w:r w:rsidR="00416F86">
        <w:rPr>
          <w:rFonts w:asciiTheme="minorHAnsi" w:hAnsiTheme="minorHAnsi" w:cstheme="minorHAnsi"/>
          <w:lang w:val="en-AU"/>
        </w:rPr>
        <w:t xml:space="preserve">osts to the individuals who have acquired this health condition and the community </w:t>
      </w:r>
      <w:r w:rsidR="00FB259A">
        <w:rPr>
          <w:rFonts w:asciiTheme="minorHAnsi" w:hAnsiTheme="minorHAnsi" w:cstheme="minorHAnsi"/>
          <w:lang w:val="en-AU"/>
        </w:rPr>
        <w:t>being</w:t>
      </w:r>
      <w:r w:rsidR="00416F86">
        <w:rPr>
          <w:rFonts w:asciiTheme="minorHAnsi" w:hAnsiTheme="minorHAnsi" w:cstheme="minorHAnsi"/>
          <w:lang w:val="en-AU"/>
        </w:rPr>
        <w:t xml:space="preserve"> significant. Yet, Australia is lagging well behind other equivalent ranked countries in terms of its research and response to the significant issues of Long </w:t>
      </w:r>
      <w:r w:rsidR="00F9793D">
        <w:rPr>
          <w:rFonts w:asciiTheme="minorHAnsi" w:hAnsiTheme="minorHAnsi" w:cstheme="minorHAnsi"/>
          <w:lang w:val="en-AU"/>
        </w:rPr>
        <w:t>COVID</w:t>
      </w:r>
      <w:r w:rsidR="00416F86">
        <w:rPr>
          <w:rFonts w:asciiTheme="minorHAnsi" w:hAnsiTheme="minorHAnsi" w:cstheme="minorHAnsi"/>
          <w:lang w:val="en-AU"/>
        </w:rPr>
        <w:t xml:space="preserve">. Our concern is that this </w:t>
      </w:r>
      <w:r w:rsidR="00FB259A">
        <w:rPr>
          <w:rFonts w:asciiTheme="minorHAnsi" w:hAnsiTheme="minorHAnsi" w:cstheme="minorHAnsi"/>
          <w:lang w:val="en-AU"/>
        </w:rPr>
        <w:t>will continue</w:t>
      </w:r>
      <w:r w:rsidR="00416F86">
        <w:rPr>
          <w:rFonts w:asciiTheme="minorHAnsi" w:hAnsiTheme="minorHAnsi" w:cstheme="minorHAnsi"/>
          <w:lang w:val="en-AU"/>
        </w:rPr>
        <w:t xml:space="preserve"> to be the way that Australian governments operate</w:t>
      </w:r>
      <w:r w:rsidR="00FB259A">
        <w:rPr>
          <w:rFonts w:asciiTheme="minorHAnsi" w:hAnsiTheme="minorHAnsi" w:cstheme="minorHAnsi"/>
          <w:lang w:val="en-AU"/>
        </w:rPr>
        <w:t>.</w:t>
      </w:r>
    </w:p>
    <w:p w14:paraId="3356770F" w14:textId="6A3DF9C1" w:rsidR="003A692C" w:rsidRPr="00C571A0" w:rsidRDefault="008C0260" w:rsidP="0043611F">
      <w:pPr>
        <w:rPr>
          <w:rFonts w:asciiTheme="minorHAnsi" w:hAnsiTheme="minorHAnsi" w:cstheme="minorHAnsi"/>
          <w:lang w:val="en-AU"/>
        </w:rPr>
      </w:pPr>
      <w:r w:rsidRPr="00C571A0">
        <w:rPr>
          <w:rFonts w:asciiTheme="minorHAnsi" w:hAnsiTheme="minorHAnsi" w:cstheme="minorHAnsi"/>
          <w:lang w:val="en-AU"/>
        </w:rPr>
        <w:t xml:space="preserve">AFDO endorses the recommendations of </w:t>
      </w:r>
      <w:proofErr w:type="spellStart"/>
      <w:r w:rsidRPr="00C571A0">
        <w:rPr>
          <w:rFonts w:asciiTheme="minorHAnsi" w:hAnsiTheme="minorHAnsi" w:cstheme="minorHAnsi"/>
          <w:lang w:val="en-AU"/>
        </w:rPr>
        <w:t>OzSage</w:t>
      </w:r>
      <w:proofErr w:type="spellEnd"/>
      <w:r w:rsidR="00FB259A">
        <w:rPr>
          <w:rFonts w:asciiTheme="minorHAnsi" w:hAnsiTheme="minorHAnsi" w:cstheme="minorHAnsi"/>
          <w:lang w:val="en-AU"/>
        </w:rPr>
        <w:t>,</w:t>
      </w:r>
      <w:r w:rsidR="006E534F" w:rsidRPr="00C571A0">
        <w:rPr>
          <w:rStyle w:val="FootnoteReference"/>
          <w:rFonts w:asciiTheme="minorHAnsi" w:hAnsiTheme="minorHAnsi" w:cstheme="minorHAnsi"/>
          <w:lang w:val="en-AU"/>
        </w:rPr>
        <w:footnoteReference w:id="38"/>
      </w:r>
      <w:r w:rsidRPr="00C571A0">
        <w:rPr>
          <w:rFonts w:asciiTheme="minorHAnsi" w:hAnsiTheme="minorHAnsi" w:cstheme="minorHAnsi"/>
          <w:lang w:val="en-AU"/>
        </w:rPr>
        <w:t xml:space="preserve"> reproduced below:</w:t>
      </w:r>
    </w:p>
    <w:p w14:paraId="210836BC" w14:textId="027B0C5F" w:rsidR="000943A1" w:rsidRDefault="008C0260" w:rsidP="00B95C54">
      <w:pPr>
        <w:pStyle w:val="ListParagraph"/>
        <w:numPr>
          <w:ilvl w:val="0"/>
          <w:numId w:val="13"/>
        </w:numPr>
        <w:rPr>
          <w:rFonts w:asciiTheme="minorHAnsi" w:hAnsiTheme="minorHAnsi" w:cstheme="minorHAnsi"/>
        </w:rPr>
      </w:pPr>
      <w:r w:rsidRPr="00487CE0">
        <w:rPr>
          <w:rFonts w:asciiTheme="minorHAnsi" w:hAnsiTheme="minorHAnsi" w:cstheme="minorHAnsi"/>
        </w:rPr>
        <w:t>Prevention</w:t>
      </w:r>
      <w:r w:rsidRPr="00C571A0">
        <w:rPr>
          <w:rFonts w:asciiTheme="minorHAnsi" w:hAnsiTheme="minorHAnsi" w:cstheme="minorHAnsi"/>
        </w:rPr>
        <w:t xml:space="preserve"> of SARS-CoV-2 infection through all means possible is essential to reduce the long</w:t>
      </w:r>
      <w:r w:rsidR="00C571A0" w:rsidRPr="00C571A0">
        <w:rPr>
          <w:rFonts w:asciiTheme="minorHAnsi" w:hAnsiTheme="minorHAnsi" w:cstheme="minorHAnsi"/>
        </w:rPr>
        <w:t>-</w:t>
      </w:r>
      <w:r w:rsidRPr="00C571A0">
        <w:rPr>
          <w:rFonts w:asciiTheme="minorHAnsi" w:hAnsiTheme="minorHAnsi" w:cstheme="minorHAnsi"/>
        </w:rPr>
        <w:t xml:space="preserve">term burden of disease and disability from </w:t>
      </w:r>
      <w:r w:rsidR="00F9793D">
        <w:rPr>
          <w:rFonts w:asciiTheme="minorHAnsi" w:hAnsiTheme="minorHAnsi" w:cstheme="minorHAnsi"/>
        </w:rPr>
        <w:t>COVID</w:t>
      </w:r>
      <w:r w:rsidRPr="00C571A0">
        <w:rPr>
          <w:rFonts w:asciiTheme="minorHAnsi" w:hAnsiTheme="minorHAnsi" w:cstheme="minorHAnsi"/>
        </w:rPr>
        <w:t xml:space="preserve">-19. This includes renewed efforts to raise the rates of 3rd and 4th dose boosters, and to increase vaccination rates in children. A Vaccine-Plus strategy includes safe indoor air, masks, testing and tracing, which will all reduce transmission. The combined effects of these can substantially reduce disease burden of </w:t>
      </w:r>
      <w:r w:rsidR="00F9793D">
        <w:rPr>
          <w:rFonts w:asciiTheme="minorHAnsi" w:hAnsiTheme="minorHAnsi" w:cstheme="minorHAnsi"/>
        </w:rPr>
        <w:t>COVID</w:t>
      </w:r>
      <w:r w:rsidRPr="00C571A0">
        <w:rPr>
          <w:rFonts w:asciiTheme="minorHAnsi" w:hAnsiTheme="minorHAnsi" w:cstheme="minorHAnsi"/>
        </w:rPr>
        <w:t xml:space="preserve">-19 and long </w:t>
      </w:r>
      <w:r w:rsidR="00F9793D">
        <w:rPr>
          <w:rFonts w:asciiTheme="minorHAnsi" w:hAnsiTheme="minorHAnsi" w:cstheme="minorHAnsi"/>
        </w:rPr>
        <w:t>COVID</w:t>
      </w:r>
      <w:r w:rsidRPr="00C571A0">
        <w:rPr>
          <w:rFonts w:asciiTheme="minorHAnsi" w:hAnsiTheme="minorHAnsi" w:cstheme="minorHAnsi"/>
        </w:rPr>
        <w:t xml:space="preserve">. See specific </w:t>
      </w:r>
      <w:proofErr w:type="spellStart"/>
      <w:r w:rsidRPr="00C571A0">
        <w:rPr>
          <w:rFonts w:asciiTheme="minorHAnsi" w:hAnsiTheme="minorHAnsi" w:cstheme="minorHAnsi"/>
        </w:rPr>
        <w:t>OzSAGE</w:t>
      </w:r>
      <w:proofErr w:type="spellEnd"/>
      <w:r w:rsidRPr="00C571A0">
        <w:rPr>
          <w:rFonts w:asciiTheme="minorHAnsi" w:hAnsiTheme="minorHAnsi" w:cstheme="minorHAnsi"/>
        </w:rPr>
        <w:t xml:space="preserve"> advice for these.</w:t>
      </w:r>
      <w:r w:rsidR="003503FC">
        <w:rPr>
          <w:rFonts w:asciiTheme="minorHAnsi" w:hAnsiTheme="minorHAnsi" w:cstheme="minorHAnsi"/>
        </w:rPr>
        <w:br/>
      </w:r>
    </w:p>
    <w:p w14:paraId="1D8508AD" w14:textId="77777777" w:rsidR="00487CE0" w:rsidRDefault="008C0260" w:rsidP="00B95C54">
      <w:pPr>
        <w:pStyle w:val="ListParagraph"/>
        <w:numPr>
          <w:ilvl w:val="0"/>
          <w:numId w:val="13"/>
        </w:numPr>
        <w:rPr>
          <w:rFonts w:asciiTheme="minorHAnsi" w:hAnsiTheme="minorHAnsi" w:cstheme="minorHAnsi"/>
        </w:rPr>
      </w:pPr>
      <w:r w:rsidRPr="00487CE0">
        <w:rPr>
          <w:rFonts w:asciiTheme="minorHAnsi" w:hAnsiTheme="minorHAnsi" w:cstheme="minorHAnsi"/>
        </w:rPr>
        <w:t>Treatment</w:t>
      </w:r>
      <w:r w:rsidRPr="003503FC">
        <w:rPr>
          <w:rFonts w:asciiTheme="minorHAnsi" w:hAnsiTheme="minorHAnsi" w:cstheme="minorHAnsi"/>
        </w:rPr>
        <w:t xml:space="preserve"> – broader, </w:t>
      </w:r>
      <w:proofErr w:type="gramStart"/>
      <w:r w:rsidRPr="003503FC">
        <w:rPr>
          <w:rFonts w:asciiTheme="minorHAnsi" w:hAnsiTheme="minorHAnsi" w:cstheme="minorHAnsi"/>
        </w:rPr>
        <w:t>affordable</w:t>
      </w:r>
      <w:proofErr w:type="gramEnd"/>
      <w:r w:rsidRPr="003503FC">
        <w:rPr>
          <w:rFonts w:asciiTheme="minorHAnsi" w:hAnsiTheme="minorHAnsi" w:cstheme="minorHAnsi"/>
        </w:rPr>
        <w:t xml:space="preserve"> and equitable access to antivirals to decrease viral load and hasten recovery may reduce long term complications. </w:t>
      </w:r>
      <w:r w:rsidR="00487CE0">
        <w:rPr>
          <w:rFonts w:asciiTheme="minorHAnsi" w:hAnsiTheme="minorHAnsi" w:cstheme="minorHAnsi"/>
        </w:rPr>
        <w:br/>
      </w:r>
    </w:p>
    <w:p w14:paraId="6DC68D25" w14:textId="47480A16" w:rsidR="00487CE0" w:rsidRDefault="008C0260" w:rsidP="00B95C54">
      <w:pPr>
        <w:pStyle w:val="ListParagraph"/>
        <w:numPr>
          <w:ilvl w:val="0"/>
          <w:numId w:val="13"/>
        </w:numPr>
        <w:rPr>
          <w:rFonts w:asciiTheme="minorHAnsi" w:hAnsiTheme="minorHAnsi" w:cstheme="minorHAnsi"/>
        </w:rPr>
      </w:pPr>
      <w:r w:rsidRPr="00487CE0">
        <w:rPr>
          <w:rFonts w:asciiTheme="minorHAnsi" w:hAnsiTheme="minorHAnsi" w:cstheme="minorHAnsi"/>
        </w:rPr>
        <w:t xml:space="preserve">We recommend the government urgently conduct modelling to assess the likely impact of long </w:t>
      </w:r>
      <w:r w:rsidR="00F9793D">
        <w:rPr>
          <w:rFonts w:asciiTheme="minorHAnsi" w:hAnsiTheme="minorHAnsi" w:cstheme="minorHAnsi"/>
        </w:rPr>
        <w:t>COVID</w:t>
      </w:r>
      <w:r w:rsidRPr="00487CE0">
        <w:rPr>
          <w:rFonts w:asciiTheme="minorHAnsi" w:hAnsiTheme="minorHAnsi" w:cstheme="minorHAnsi"/>
        </w:rPr>
        <w:t xml:space="preserve"> on the job capacity of Australian workers, the health system, the NDIS and other disability services, and the likely demands on income support due to disability caused by long </w:t>
      </w:r>
      <w:r w:rsidR="00F9793D">
        <w:rPr>
          <w:rFonts w:asciiTheme="minorHAnsi" w:hAnsiTheme="minorHAnsi" w:cstheme="minorHAnsi"/>
        </w:rPr>
        <w:t>COVID</w:t>
      </w:r>
      <w:r w:rsidRPr="00487CE0">
        <w:rPr>
          <w:rFonts w:asciiTheme="minorHAnsi" w:hAnsiTheme="minorHAnsi" w:cstheme="minorHAnsi"/>
        </w:rPr>
        <w:t xml:space="preserve">. This should test best and worst-case estimates of long-term disease and disability to inform planning for the future. </w:t>
      </w:r>
      <w:r w:rsidR="00487CE0">
        <w:rPr>
          <w:rFonts w:asciiTheme="minorHAnsi" w:hAnsiTheme="minorHAnsi" w:cstheme="minorHAnsi"/>
        </w:rPr>
        <w:br/>
      </w:r>
    </w:p>
    <w:p w14:paraId="018783B9" w14:textId="2A5C83AB" w:rsidR="00487CE0" w:rsidRDefault="008C0260" w:rsidP="00B95C54">
      <w:pPr>
        <w:pStyle w:val="ListParagraph"/>
        <w:numPr>
          <w:ilvl w:val="0"/>
          <w:numId w:val="13"/>
        </w:numPr>
        <w:rPr>
          <w:rFonts w:asciiTheme="minorHAnsi" w:hAnsiTheme="minorHAnsi" w:cstheme="minorHAnsi"/>
        </w:rPr>
      </w:pPr>
      <w:r w:rsidRPr="00487CE0">
        <w:rPr>
          <w:rFonts w:asciiTheme="minorHAnsi" w:hAnsiTheme="minorHAnsi" w:cstheme="minorHAnsi"/>
        </w:rPr>
        <w:t xml:space="preserve">Raising awareness and acknowledgment of Long </w:t>
      </w:r>
      <w:r w:rsidR="00F9793D">
        <w:rPr>
          <w:rFonts w:asciiTheme="minorHAnsi" w:hAnsiTheme="minorHAnsi" w:cstheme="minorHAnsi"/>
        </w:rPr>
        <w:t>COVID</w:t>
      </w:r>
      <w:r w:rsidRPr="00487CE0">
        <w:rPr>
          <w:rFonts w:asciiTheme="minorHAnsi" w:hAnsiTheme="minorHAnsi" w:cstheme="minorHAnsi"/>
        </w:rPr>
        <w:t xml:space="preserve"> and the spectrum of post-acute complications for patients and health care providers. Employers should also be made aware of the potential for increasing numbers of employees dealing with long </w:t>
      </w:r>
      <w:r w:rsidR="00F9793D">
        <w:rPr>
          <w:rFonts w:asciiTheme="minorHAnsi" w:hAnsiTheme="minorHAnsi" w:cstheme="minorHAnsi"/>
        </w:rPr>
        <w:t>COVID</w:t>
      </w:r>
      <w:r w:rsidRPr="00487CE0">
        <w:rPr>
          <w:rFonts w:asciiTheme="minorHAnsi" w:hAnsiTheme="minorHAnsi" w:cstheme="minorHAnsi"/>
        </w:rPr>
        <w:t xml:space="preserve"> and plan for workforce issues. </w:t>
      </w:r>
      <w:r w:rsidR="00487CE0">
        <w:rPr>
          <w:rFonts w:asciiTheme="minorHAnsi" w:hAnsiTheme="minorHAnsi" w:cstheme="minorHAnsi"/>
        </w:rPr>
        <w:br/>
      </w:r>
    </w:p>
    <w:p w14:paraId="7BA5559A" w14:textId="77777777" w:rsidR="00487CE0" w:rsidRDefault="008C0260" w:rsidP="00B95C54">
      <w:pPr>
        <w:pStyle w:val="ListParagraph"/>
        <w:numPr>
          <w:ilvl w:val="0"/>
          <w:numId w:val="13"/>
        </w:numPr>
        <w:rPr>
          <w:rFonts w:asciiTheme="minorHAnsi" w:hAnsiTheme="minorHAnsi" w:cstheme="minorHAnsi"/>
        </w:rPr>
      </w:pPr>
      <w:r w:rsidRPr="00487CE0">
        <w:rPr>
          <w:rFonts w:asciiTheme="minorHAnsi" w:hAnsiTheme="minorHAnsi" w:cstheme="minorHAnsi"/>
        </w:rPr>
        <w:t xml:space="preserve">Clinical pathways and clinical decision support tools for GPs should be established for assessment, </w:t>
      </w:r>
      <w:proofErr w:type="gramStart"/>
      <w:r w:rsidRPr="00487CE0">
        <w:rPr>
          <w:rFonts w:asciiTheme="minorHAnsi" w:hAnsiTheme="minorHAnsi" w:cstheme="minorHAnsi"/>
        </w:rPr>
        <w:t>investigations</w:t>
      </w:r>
      <w:proofErr w:type="gramEnd"/>
      <w:r w:rsidRPr="00487CE0">
        <w:rPr>
          <w:rFonts w:asciiTheme="minorHAnsi" w:hAnsiTheme="minorHAnsi" w:cstheme="minorHAnsi"/>
        </w:rPr>
        <w:t xml:space="preserve"> and specialist referral. This includes protocols on specific diagnostics for abnormalities not detected by routine tests (pulmonary, </w:t>
      </w:r>
      <w:proofErr w:type="spellStart"/>
      <w:r w:rsidRPr="00487CE0">
        <w:rPr>
          <w:rFonts w:asciiTheme="minorHAnsi" w:hAnsiTheme="minorHAnsi" w:cstheme="minorHAnsi"/>
        </w:rPr>
        <w:t>microclots</w:t>
      </w:r>
      <w:proofErr w:type="spellEnd"/>
      <w:r w:rsidRPr="00487CE0">
        <w:rPr>
          <w:rFonts w:asciiTheme="minorHAnsi" w:hAnsiTheme="minorHAnsi" w:cstheme="minorHAnsi"/>
        </w:rPr>
        <w:t xml:space="preserve">, myocarditis). </w:t>
      </w:r>
      <w:r w:rsidR="00487CE0">
        <w:rPr>
          <w:rFonts w:asciiTheme="minorHAnsi" w:hAnsiTheme="minorHAnsi" w:cstheme="minorHAnsi"/>
        </w:rPr>
        <w:br/>
      </w:r>
    </w:p>
    <w:p w14:paraId="48350DF8" w14:textId="77777777" w:rsidR="00487CE0" w:rsidRDefault="008C0260" w:rsidP="00B95C54">
      <w:pPr>
        <w:pStyle w:val="ListParagraph"/>
        <w:numPr>
          <w:ilvl w:val="0"/>
          <w:numId w:val="13"/>
        </w:numPr>
        <w:rPr>
          <w:rFonts w:asciiTheme="minorHAnsi" w:hAnsiTheme="minorHAnsi" w:cstheme="minorHAnsi"/>
        </w:rPr>
      </w:pPr>
      <w:r w:rsidRPr="00487CE0">
        <w:rPr>
          <w:rFonts w:asciiTheme="minorHAnsi" w:hAnsiTheme="minorHAnsi" w:cstheme="minorHAnsi"/>
        </w:rPr>
        <w:t xml:space="preserve">Education for employers and organizations on pathways for medical fitness for work review and extended sick leave for staff. Occupational physicians and general </w:t>
      </w:r>
      <w:r w:rsidRPr="00487CE0">
        <w:rPr>
          <w:rFonts w:asciiTheme="minorHAnsi" w:hAnsiTheme="minorHAnsi" w:cstheme="minorHAnsi"/>
        </w:rPr>
        <w:lastRenderedPageBreak/>
        <w:t xml:space="preserve">practitioners with occupational interest (involving occupational therapists and neuropsychologists if needed) can clarify if an individual who complains of symptoms or is making significant errors, is capable of safe work or identify what supports are needed to maintain their role safely. The doctors can also help clarify treatment plan and the prognosis and support for return from extended sick leave if needed. </w:t>
      </w:r>
      <w:r w:rsidR="00487CE0">
        <w:rPr>
          <w:rFonts w:asciiTheme="minorHAnsi" w:hAnsiTheme="minorHAnsi" w:cstheme="minorHAnsi"/>
        </w:rPr>
        <w:br/>
      </w:r>
    </w:p>
    <w:p w14:paraId="6323DA4B" w14:textId="77DDBD2B" w:rsidR="00487CE0" w:rsidRDefault="008C0260" w:rsidP="00B95C54">
      <w:pPr>
        <w:pStyle w:val="ListParagraph"/>
        <w:numPr>
          <w:ilvl w:val="0"/>
          <w:numId w:val="13"/>
        </w:numPr>
        <w:rPr>
          <w:rFonts w:asciiTheme="minorHAnsi" w:hAnsiTheme="minorHAnsi" w:cstheme="minorHAnsi"/>
        </w:rPr>
      </w:pPr>
      <w:r w:rsidRPr="00487CE0">
        <w:rPr>
          <w:rFonts w:asciiTheme="minorHAnsi" w:hAnsiTheme="minorHAnsi" w:cstheme="minorHAnsi"/>
        </w:rPr>
        <w:t>Infrastructure to manage burden of chronic illness (</w:t>
      </w:r>
      <w:proofErr w:type="spellStart"/>
      <w:r w:rsidRPr="00487CE0">
        <w:rPr>
          <w:rFonts w:asciiTheme="minorHAnsi" w:hAnsiTheme="minorHAnsi" w:cstheme="minorHAnsi"/>
        </w:rPr>
        <w:t>specialised</w:t>
      </w:r>
      <w:proofErr w:type="spellEnd"/>
      <w:r w:rsidRPr="00487CE0">
        <w:rPr>
          <w:rFonts w:asciiTheme="minorHAnsi" w:hAnsiTheme="minorHAnsi" w:cstheme="minorHAnsi"/>
        </w:rPr>
        <w:t xml:space="preserve"> long </w:t>
      </w:r>
      <w:r w:rsidR="00F9793D">
        <w:rPr>
          <w:rFonts w:asciiTheme="minorHAnsi" w:hAnsiTheme="minorHAnsi" w:cstheme="minorHAnsi"/>
        </w:rPr>
        <w:t>COVID</w:t>
      </w:r>
      <w:r w:rsidRPr="00487CE0">
        <w:rPr>
          <w:rFonts w:asciiTheme="minorHAnsi" w:hAnsiTheme="minorHAnsi" w:cstheme="minorHAnsi"/>
        </w:rPr>
        <w:t xml:space="preserve"> clinics, and health system planning for the increased burden of chronic cardiac, </w:t>
      </w:r>
      <w:proofErr w:type="gramStart"/>
      <w:r w:rsidRPr="00487CE0">
        <w:rPr>
          <w:rFonts w:asciiTheme="minorHAnsi" w:hAnsiTheme="minorHAnsi" w:cstheme="minorHAnsi"/>
        </w:rPr>
        <w:t>respiratory</w:t>
      </w:r>
      <w:proofErr w:type="gramEnd"/>
      <w:r w:rsidRPr="00487CE0">
        <w:rPr>
          <w:rFonts w:asciiTheme="minorHAnsi" w:hAnsiTheme="minorHAnsi" w:cstheme="minorHAnsi"/>
        </w:rPr>
        <w:t xml:space="preserve"> and other complications). Ensure </w:t>
      </w:r>
      <w:proofErr w:type="spellStart"/>
      <w:r w:rsidRPr="00487CE0">
        <w:rPr>
          <w:rFonts w:asciiTheme="minorHAnsi" w:hAnsiTheme="minorHAnsi" w:cstheme="minorHAnsi"/>
        </w:rPr>
        <w:t>specialised</w:t>
      </w:r>
      <w:proofErr w:type="spellEnd"/>
      <w:r w:rsidRPr="00487CE0">
        <w:rPr>
          <w:rFonts w:asciiTheme="minorHAnsi" w:hAnsiTheme="minorHAnsi" w:cstheme="minorHAnsi"/>
        </w:rPr>
        <w:t xml:space="preserve"> clinics are accessible to disadvantaged groups. This could be achieved by strategies such as outreach programs through existing health networks, upskilling regional health practitioners and ongoing support for telehealth MBS item numbers.</w:t>
      </w:r>
      <w:r w:rsidR="00487CE0">
        <w:rPr>
          <w:rFonts w:asciiTheme="minorHAnsi" w:hAnsiTheme="minorHAnsi" w:cstheme="minorHAnsi"/>
        </w:rPr>
        <w:br/>
      </w:r>
    </w:p>
    <w:p w14:paraId="448BC9D2" w14:textId="28BEC129" w:rsidR="00487CE0" w:rsidRDefault="008C0260" w:rsidP="00B95C54">
      <w:pPr>
        <w:pStyle w:val="ListParagraph"/>
        <w:numPr>
          <w:ilvl w:val="0"/>
          <w:numId w:val="13"/>
        </w:numPr>
        <w:rPr>
          <w:rFonts w:asciiTheme="minorHAnsi" w:hAnsiTheme="minorHAnsi" w:cstheme="minorHAnsi"/>
        </w:rPr>
      </w:pPr>
      <w:r w:rsidRPr="00487CE0">
        <w:rPr>
          <w:rFonts w:asciiTheme="minorHAnsi" w:hAnsiTheme="minorHAnsi" w:cstheme="minorHAnsi"/>
        </w:rPr>
        <w:t xml:space="preserve">Commonwealth and State and Territory governments need to plan for the potential increased demand for disability services including the NDIS in coming </w:t>
      </w:r>
      <w:proofErr w:type="gramStart"/>
      <w:r w:rsidRPr="00487CE0">
        <w:rPr>
          <w:rFonts w:asciiTheme="minorHAnsi" w:hAnsiTheme="minorHAnsi" w:cstheme="minorHAnsi"/>
        </w:rPr>
        <w:t>years .</w:t>
      </w:r>
      <w:proofErr w:type="gramEnd"/>
      <w:r w:rsidRPr="00487CE0">
        <w:rPr>
          <w:rFonts w:asciiTheme="minorHAnsi" w:hAnsiTheme="minorHAnsi" w:cstheme="minorHAnsi"/>
        </w:rPr>
        <w:t xml:space="preserve"> Investments should then be directed to supporting people who are disabled by long </w:t>
      </w:r>
      <w:r w:rsidR="00F9793D">
        <w:rPr>
          <w:rFonts w:asciiTheme="minorHAnsi" w:hAnsiTheme="minorHAnsi" w:cstheme="minorHAnsi"/>
        </w:rPr>
        <w:t>COVID</w:t>
      </w:r>
      <w:r w:rsidRPr="00487CE0">
        <w:rPr>
          <w:rFonts w:asciiTheme="minorHAnsi" w:hAnsiTheme="minorHAnsi" w:cstheme="minorHAnsi"/>
        </w:rPr>
        <w:t xml:space="preserve"> to receive the necessary services and support through the health system, rehabilitation, tier 2 disability supports, and the NDIS if they experience significant and permanent disablement. </w:t>
      </w:r>
      <w:r w:rsidR="00487CE0">
        <w:rPr>
          <w:rFonts w:asciiTheme="minorHAnsi" w:hAnsiTheme="minorHAnsi" w:cstheme="minorHAnsi"/>
        </w:rPr>
        <w:br/>
      </w:r>
    </w:p>
    <w:p w14:paraId="75BD18E3" w14:textId="19A471E5" w:rsidR="008C0260" w:rsidRPr="00487CE0" w:rsidRDefault="008C0260" w:rsidP="00B95C54">
      <w:pPr>
        <w:pStyle w:val="ListParagraph"/>
        <w:numPr>
          <w:ilvl w:val="0"/>
          <w:numId w:val="13"/>
        </w:numPr>
        <w:rPr>
          <w:rFonts w:asciiTheme="minorHAnsi" w:hAnsiTheme="minorHAnsi" w:cstheme="minorHAnsi"/>
        </w:rPr>
      </w:pPr>
      <w:r w:rsidRPr="00487CE0">
        <w:rPr>
          <w:rFonts w:asciiTheme="minorHAnsi" w:hAnsiTheme="minorHAnsi" w:cstheme="minorHAnsi"/>
        </w:rPr>
        <w:t xml:space="preserve">Support for people who are unable to work or have reduced work capacity due to long </w:t>
      </w:r>
      <w:r w:rsidR="00F9793D">
        <w:rPr>
          <w:rFonts w:asciiTheme="minorHAnsi" w:hAnsiTheme="minorHAnsi" w:cstheme="minorHAnsi"/>
        </w:rPr>
        <w:t>COVID</w:t>
      </w:r>
      <w:r w:rsidRPr="00487CE0">
        <w:rPr>
          <w:rFonts w:asciiTheme="minorHAnsi" w:hAnsiTheme="minorHAnsi" w:cstheme="minorHAnsi"/>
        </w:rPr>
        <w:t xml:space="preserve">. Consideration of expansion of Job Access Disability support with workplace accommodations including promoting flexible working conditions, rehabilitation services, incentives for employers to accommodate workers disabled by </w:t>
      </w:r>
      <w:r w:rsidR="00F9793D">
        <w:rPr>
          <w:rFonts w:asciiTheme="minorHAnsi" w:hAnsiTheme="minorHAnsi" w:cstheme="minorHAnsi"/>
        </w:rPr>
        <w:t>COVID</w:t>
      </w:r>
      <w:r w:rsidRPr="00487CE0">
        <w:rPr>
          <w:rFonts w:asciiTheme="minorHAnsi" w:hAnsiTheme="minorHAnsi" w:cstheme="minorHAnsi"/>
        </w:rPr>
        <w:t xml:space="preserve">-19 (such as </w:t>
      </w:r>
      <w:proofErr w:type="spellStart"/>
      <w:r w:rsidRPr="00487CE0">
        <w:rPr>
          <w:rFonts w:asciiTheme="minorHAnsi" w:hAnsiTheme="minorHAnsi" w:cstheme="minorHAnsi"/>
        </w:rPr>
        <w:t>subsidisation</w:t>
      </w:r>
      <w:proofErr w:type="spellEnd"/>
      <w:r w:rsidRPr="00487CE0">
        <w:rPr>
          <w:rFonts w:asciiTheme="minorHAnsi" w:hAnsiTheme="minorHAnsi" w:cstheme="minorHAnsi"/>
        </w:rPr>
        <w:t xml:space="preserve"> of work from home equipment, supernumerary work placement) and income support for people reduced work capacity due to long </w:t>
      </w:r>
      <w:r w:rsidR="00F9793D">
        <w:rPr>
          <w:rFonts w:asciiTheme="minorHAnsi" w:hAnsiTheme="minorHAnsi" w:cstheme="minorHAnsi"/>
        </w:rPr>
        <w:t>COVID</w:t>
      </w:r>
      <w:r w:rsidRPr="00487CE0">
        <w:rPr>
          <w:rFonts w:asciiTheme="minorHAnsi" w:hAnsiTheme="minorHAnsi" w:cstheme="minorHAnsi"/>
        </w:rPr>
        <w:t>.</w:t>
      </w:r>
    </w:p>
    <w:p w14:paraId="5776AE8E" w14:textId="7F136A3A" w:rsidR="003A692C" w:rsidRPr="00C571A0" w:rsidRDefault="003A692C" w:rsidP="0043611F">
      <w:pPr>
        <w:rPr>
          <w:rFonts w:asciiTheme="minorHAnsi" w:hAnsiTheme="minorHAnsi" w:cstheme="minorHAnsi"/>
          <w:lang w:val="en-AU"/>
        </w:rPr>
      </w:pPr>
    </w:p>
    <w:p w14:paraId="26DF41D0" w14:textId="5DEC7D16" w:rsidR="003A692C" w:rsidRPr="00C571A0" w:rsidRDefault="003A692C" w:rsidP="0043611F">
      <w:pPr>
        <w:rPr>
          <w:rFonts w:asciiTheme="minorHAnsi" w:hAnsiTheme="minorHAnsi" w:cstheme="minorHAnsi"/>
          <w:lang w:val="en-AU"/>
        </w:rPr>
      </w:pPr>
    </w:p>
    <w:p w14:paraId="54879B7E" w14:textId="71651D31" w:rsidR="003A692C" w:rsidRPr="00C571A0" w:rsidRDefault="003A692C" w:rsidP="0043611F">
      <w:pPr>
        <w:rPr>
          <w:rFonts w:asciiTheme="minorHAnsi" w:hAnsiTheme="minorHAnsi" w:cstheme="minorHAnsi"/>
          <w:lang w:val="en-AU"/>
        </w:rPr>
      </w:pPr>
    </w:p>
    <w:p w14:paraId="4F1DDAA2" w14:textId="4759602D" w:rsidR="003A692C" w:rsidRPr="00A91A00" w:rsidRDefault="003A692C" w:rsidP="0043611F">
      <w:pPr>
        <w:rPr>
          <w:rFonts w:asciiTheme="minorHAnsi" w:hAnsiTheme="minorHAnsi" w:cstheme="minorHAnsi"/>
          <w:lang w:val="en-AU"/>
        </w:rPr>
      </w:pPr>
    </w:p>
    <w:p w14:paraId="4ACB8AB2" w14:textId="7D949B2A" w:rsidR="003A692C" w:rsidRPr="00A91A00" w:rsidRDefault="003A692C" w:rsidP="0043611F">
      <w:pPr>
        <w:rPr>
          <w:rFonts w:asciiTheme="minorHAnsi" w:hAnsiTheme="minorHAnsi" w:cstheme="minorHAnsi"/>
          <w:lang w:val="en-AU"/>
        </w:rPr>
      </w:pPr>
    </w:p>
    <w:p w14:paraId="4911858E" w14:textId="403D769F" w:rsidR="003A692C" w:rsidRPr="00A91A00" w:rsidRDefault="003A692C" w:rsidP="0043611F">
      <w:pPr>
        <w:rPr>
          <w:rFonts w:asciiTheme="minorHAnsi" w:hAnsiTheme="minorHAnsi" w:cstheme="minorHAnsi"/>
          <w:lang w:val="en-AU"/>
        </w:rPr>
      </w:pPr>
    </w:p>
    <w:p w14:paraId="10FC8A08" w14:textId="43480755" w:rsidR="003A692C" w:rsidRPr="00A91A00" w:rsidRDefault="003A692C" w:rsidP="0043611F">
      <w:pPr>
        <w:rPr>
          <w:rFonts w:asciiTheme="minorHAnsi" w:hAnsiTheme="minorHAnsi" w:cstheme="minorHAnsi"/>
          <w:lang w:val="en-AU"/>
        </w:rPr>
      </w:pPr>
    </w:p>
    <w:p w14:paraId="3D4E2B16" w14:textId="2C3DC6C9" w:rsidR="003A692C" w:rsidRPr="00A91A00" w:rsidRDefault="003A692C" w:rsidP="0043611F">
      <w:pPr>
        <w:rPr>
          <w:rFonts w:asciiTheme="minorHAnsi" w:hAnsiTheme="minorHAnsi" w:cstheme="minorHAnsi"/>
          <w:lang w:val="en-AU"/>
        </w:rPr>
      </w:pPr>
    </w:p>
    <w:p w14:paraId="58FFCB6F" w14:textId="77777777" w:rsidR="003A692C" w:rsidRPr="00A91A00" w:rsidRDefault="003A692C" w:rsidP="0043611F">
      <w:pPr>
        <w:rPr>
          <w:rFonts w:asciiTheme="minorHAnsi" w:hAnsiTheme="minorHAnsi" w:cstheme="minorHAnsi"/>
          <w:lang w:val="en-AU"/>
        </w:rPr>
      </w:pPr>
    </w:p>
    <w:p w14:paraId="69DDE1CB" w14:textId="5142D3DD" w:rsidR="007F3DF5" w:rsidRPr="00A91A00" w:rsidRDefault="007F3DF5" w:rsidP="00441543">
      <w:pPr>
        <w:pStyle w:val="HeadingNew"/>
      </w:pPr>
      <w:r w:rsidRPr="00A91A00">
        <w:lastRenderedPageBreak/>
        <w:t>Reference List</w:t>
      </w:r>
    </w:p>
    <w:p w14:paraId="4807E5B2" w14:textId="51E8F5ED" w:rsidR="00C571A0" w:rsidRPr="00C571A0" w:rsidRDefault="00C571A0" w:rsidP="00C571A0">
      <w:pPr>
        <w:rPr>
          <w:rFonts w:asciiTheme="minorHAnsi" w:hAnsiTheme="minorHAnsi" w:cstheme="minorHAnsi"/>
          <w:lang w:val="en-AU" w:eastAsia="zh-CN"/>
        </w:rPr>
      </w:pPr>
      <w:r w:rsidRPr="00C571A0">
        <w:rPr>
          <w:rFonts w:asciiTheme="minorHAnsi" w:hAnsiTheme="minorHAnsi" w:cstheme="minorHAnsi"/>
          <w:lang w:val="en-AU" w:eastAsia="zh-CN"/>
        </w:rPr>
        <w:t xml:space="preserve">Al-Aly, Z., Bowe, B. &amp; </w:t>
      </w:r>
      <w:proofErr w:type="spellStart"/>
      <w:r w:rsidRPr="00C571A0">
        <w:rPr>
          <w:rFonts w:asciiTheme="minorHAnsi" w:hAnsiTheme="minorHAnsi" w:cstheme="minorHAnsi"/>
          <w:lang w:val="en-AU" w:eastAsia="zh-CN"/>
        </w:rPr>
        <w:t>Xie</w:t>
      </w:r>
      <w:proofErr w:type="spellEnd"/>
      <w:r w:rsidRPr="00C571A0">
        <w:rPr>
          <w:rFonts w:asciiTheme="minorHAnsi" w:hAnsiTheme="minorHAnsi" w:cstheme="minorHAnsi"/>
          <w:lang w:val="en-AU" w:eastAsia="zh-CN"/>
        </w:rPr>
        <w:t xml:space="preserve">, Y. (2022) ‘Long </w:t>
      </w:r>
      <w:r w:rsidR="00F9793D">
        <w:rPr>
          <w:rFonts w:asciiTheme="minorHAnsi" w:hAnsiTheme="minorHAnsi" w:cstheme="minorHAnsi"/>
          <w:lang w:val="en-AU" w:eastAsia="zh-CN"/>
        </w:rPr>
        <w:t>COVID</w:t>
      </w:r>
      <w:r w:rsidRPr="00C571A0">
        <w:rPr>
          <w:rFonts w:asciiTheme="minorHAnsi" w:hAnsiTheme="minorHAnsi" w:cstheme="minorHAnsi"/>
          <w:lang w:val="en-AU" w:eastAsia="zh-CN"/>
        </w:rPr>
        <w:t xml:space="preserve"> after breakthrough SARS-CoV-2 infection’, </w:t>
      </w:r>
      <w:r w:rsidRPr="00C571A0">
        <w:rPr>
          <w:rFonts w:asciiTheme="minorHAnsi" w:hAnsiTheme="minorHAnsi" w:cstheme="minorHAnsi"/>
          <w:i/>
          <w:iCs/>
          <w:lang w:val="en-AU" w:eastAsia="zh-CN"/>
        </w:rPr>
        <w:t>Nature Medicine</w:t>
      </w:r>
      <w:r w:rsidRPr="00C571A0">
        <w:rPr>
          <w:rFonts w:asciiTheme="minorHAnsi" w:hAnsiTheme="minorHAnsi" w:cstheme="minorHAnsi"/>
          <w:lang w:val="en-AU" w:eastAsia="zh-CN"/>
        </w:rPr>
        <w:t>, 28: 1461–1467.</w:t>
      </w:r>
      <w:r w:rsidRPr="00C571A0">
        <w:rPr>
          <w:rFonts w:asciiTheme="minorHAnsi" w:hAnsiTheme="minorHAnsi" w:cstheme="minorHAnsi"/>
          <w:lang w:val="en-AU" w:eastAsia="zh-CN"/>
        </w:rPr>
        <w:br/>
        <w:t>&lt;</w:t>
      </w:r>
      <w:hyperlink r:id="rId14" w:history="1">
        <w:r w:rsidRPr="00C571A0">
          <w:rPr>
            <w:rStyle w:val="Hyperlink"/>
            <w:rFonts w:asciiTheme="minorHAnsi" w:hAnsiTheme="minorHAnsi" w:cstheme="minorHAnsi"/>
            <w:shd w:val="clear" w:color="auto" w:fill="FFFFFF"/>
          </w:rPr>
          <w:t>https://doi.org/10.1038/s41591-022-01840-0</w:t>
        </w:r>
      </w:hyperlink>
      <w:r w:rsidRPr="00C571A0">
        <w:rPr>
          <w:rFonts w:asciiTheme="minorHAnsi" w:hAnsiTheme="minorHAnsi" w:cstheme="minorHAnsi"/>
          <w:color w:val="222222"/>
          <w:shd w:val="clear" w:color="auto" w:fill="FFFFFF"/>
        </w:rPr>
        <w:t xml:space="preserve">&gt; </w:t>
      </w:r>
    </w:p>
    <w:p w14:paraId="7203C330" w14:textId="77777777" w:rsidR="00C571A0" w:rsidRPr="00C571A0" w:rsidRDefault="00C571A0" w:rsidP="00C571A0">
      <w:pPr>
        <w:rPr>
          <w:rFonts w:asciiTheme="minorHAnsi" w:hAnsiTheme="minorHAnsi" w:cstheme="minorHAnsi"/>
          <w:lang w:val="en-AU" w:eastAsia="zh-CN"/>
        </w:rPr>
      </w:pPr>
      <w:r w:rsidRPr="00C571A0">
        <w:rPr>
          <w:rFonts w:asciiTheme="minorHAnsi" w:hAnsiTheme="minorHAnsi" w:cstheme="minorHAnsi"/>
          <w:lang w:val="en-AU" w:eastAsia="zh-CN"/>
        </w:rPr>
        <w:t xml:space="preserve">Australian Bureau of Statistics (ABS) (2019) </w:t>
      </w:r>
      <w:r w:rsidRPr="00C571A0">
        <w:rPr>
          <w:rFonts w:asciiTheme="minorHAnsi" w:hAnsiTheme="minorHAnsi" w:cstheme="minorHAnsi"/>
          <w:i/>
          <w:iCs/>
          <w:lang w:val="en-AU" w:eastAsia="zh-CN"/>
        </w:rPr>
        <w:t>Microdata: disability, ageing and carers, Australia, 2018</w:t>
      </w:r>
      <w:r w:rsidRPr="00C571A0">
        <w:rPr>
          <w:rFonts w:asciiTheme="minorHAnsi" w:hAnsiTheme="minorHAnsi" w:cstheme="minorHAnsi"/>
          <w:lang w:val="en-AU" w:eastAsia="zh-CN"/>
        </w:rPr>
        <w:t xml:space="preserve">, ABS cat. no. 4430.0.30.002, ABS, AIHW analysis of </w:t>
      </w:r>
      <w:proofErr w:type="spellStart"/>
      <w:r w:rsidRPr="00C571A0">
        <w:rPr>
          <w:rFonts w:asciiTheme="minorHAnsi" w:hAnsiTheme="minorHAnsi" w:cstheme="minorHAnsi"/>
          <w:lang w:val="en-AU" w:eastAsia="zh-CN"/>
        </w:rPr>
        <w:t>TableBuilder</w:t>
      </w:r>
      <w:proofErr w:type="spellEnd"/>
      <w:r w:rsidRPr="00C571A0">
        <w:rPr>
          <w:rFonts w:asciiTheme="minorHAnsi" w:hAnsiTheme="minorHAnsi" w:cstheme="minorHAnsi"/>
          <w:lang w:val="en-AU" w:eastAsia="zh-CN"/>
        </w:rPr>
        <w:t xml:space="preserve"> data, accessed 14 October 2021.</w:t>
      </w:r>
      <w:r w:rsidRPr="00C571A0">
        <w:rPr>
          <w:rFonts w:asciiTheme="minorHAnsi" w:hAnsiTheme="minorHAnsi" w:cstheme="minorHAnsi"/>
          <w:lang w:val="en-AU" w:eastAsia="zh-CN"/>
        </w:rPr>
        <w:br/>
        <w:t>&lt;https://www.abs.gov.au/statistics/microdata-tablebuilder/available-microdata-tablebuilder/disability-ageing-and-carers-australia&gt;</w:t>
      </w:r>
    </w:p>
    <w:p w14:paraId="15640D5D" w14:textId="77777777" w:rsidR="00C571A0" w:rsidRPr="00C571A0" w:rsidRDefault="00C571A0" w:rsidP="00C571A0">
      <w:pPr>
        <w:rPr>
          <w:rFonts w:asciiTheme="minorHAnsi" w:hAnsiTheme="minorHAnsi" w:cstheme="minorHAnsi"/>
          <w:lang w:val="en-AU" w:eastAsia="zh-CN"/>
        </w:rPr>
      </w:pPr>
      <w:r w:rsidRPr="00C571A0">
        <w:rPr>
          <w:rFonts w:asciiTheme="minorHAnsi" w:hAnsiTheme="minorHAnsi" w:cstheme="minorHAnsi"/>
          <w:lang w:val="en-AU" w:eastAsia="zh-CN"/>
        </w:rPr>
        <w:t xml:space="preserve">Australian Institute of Health and Welfare (AIHW) (2022) </w:t>
      </w:r>
      <w:r w:rsidRPr="00C571A0">
        <w:rPr>
          <w:rFonts w:asciiTheme="minorHAnsi" w:hAnsiTheme="minorHAnsi" w:cstheme="minorHAnsi"/>
          <w:i/>
          <w:iCs/>
          <w:lang w:val="en-AU" w:eastAsia="zh-CN"/>
        </w:rPr>
        <w:t>People with disability in Australia 2022</w:t>
      </w:r>
      <w:r w:rsidRPr="00C571A0">
        <w:rPr>
          <w:rFonts w:asciiTheme="minorHAnsi" w:hAnsiTheme="minorHAnsi" w:cstheme="minorHAnsi"/>
          <w:lang w:val="en-AU" w:eastAsia="zh-CN"/>
        </w:rPr>
        <w:t>, catalogue number DIS 72, AIHW, Australian Government.</w:t>
      </w:r>
    </w:p>
    <w:p w14:paraId="3A616541" w14:textId="41992C04" w:rsidR="00C571A0" w:rsidRPr="00C571A0" w:rsidRDefault="00C571A0" w:rsidP="00C571A0">
      <w:pPr>
        <w:rPr>
          <w:rFonts w:asciiTheme="minorHAnsi" w:hAnsiTheme="minorHAnsi" w:cstheme="minorHAnsi"/>
          <w:lang w:val="en-AU" w:eastAsia="zh-CN"/>
        </w:rPr>
      </w:pPr>
      <w:r w:rsidRPr="00C571A0">
        <w:rPr>
          <w:rFonts w:asciiTheme="minorHAnsi" w:hAnsiTheme="minorHAnsi" w:cstheme="minorHAnsi"/>
          <w:lang w:val="en-AU" w:eastAsia="zh-CN"/>
        </w:rPr>
        <w:t xml:space="preserve">Angeles, M.R. &amp; </w:t>
      </w:r>
      <w:proofErr w:type="spellStart"/>
      <w:r w:rsidRPr="00C571A0">
        <w:rPr>
          <w:rFonts w:asciiTheme="minorHAnsi" w:hAnsiTheme="minorHAnsi" w:cstheme="minorHAnsi"/>
          <w:lang w:val="en-AU" w:eastAsia="zh-CN"/>
        </w:rPr>
        <w:t>Hensher</w:t>
      </w:r>
      <w:proofErr w:type="spellEnd"/>
      <w:r w:rsidRPr="00C571A0">
        <w:rPr>
          <w:rFonts w:asciiTheme="minorHAnsi" w:hAnsiTheme="minorHAnsi" w:cstheme="minorHAnsi"/>
          <w:lang w:val="en-AU" w:eastAsia="zh-CN"/>
        </w:rPr>
        <w:t xml:space="preserve">, M. (2022) Estimating the Current Scale and Impact of Long </w:t>
      </w:r>
      <w:r w:rsidR="00F9793D">
        <w:rPr>
          <w:rFonts w:asciiTheme="minorHAnsi" w:hAnsiTheme="minorHAnsi" w:cstheme="minorHAnsi"/>
          <w:lang w:val="en-AU" w:eastAsia="zh-CN"/>
        </w:rPr>
        <w:t>COVID</w:t>
      </w:r>
      <w:r w:rsidRPr="00C571A0">
        <w:rPr>
          <w:rFonts w:asciiTheme="minorHAnsi" w:hAnsiTheme="minorHAnsi" w:cstheme="minorHAnsi"/>
          <w:lang w:val="en-AU" w:eastAsia="zh-CN"/>
        </w:rPr>
        <w:t xml:space="preserve"> in Australia, 11 November 2022, accessed 25 November 2022.</w:t>
      </w:r>
      <w:r w:rsidRPr="00C571A0">
        <w:rPr>
          <w:rFonts w:asciiTheme="minorHAnsi" w:hAnsiTheme="minorHAnsi" w:cstheme="minorHAnsi"/>
          <w:lang w:val="en-AU" w:eastAsia="zh-CN"/>
        </w:rPr>
        <w:br/>
        <w:t>&lt;https://iht.deakin.edu.au/wp-content/uploads/sites/153/2022/11/LC-Modelling-full-report.pdf&gt;</w:t>
      </w:r>
    </w:p>
    <w:p w14:paraId="4576387E" w14:textId="56A47ABF" w:rsidR="00C571A0" w:rsidRPr="00C571A0" w:rsidRDefault="00C571A0" w:rsidP="00C571A0">
      <w:pPr>
        <w:rPr>
          <w:rFonts w:asciiTheme="minorHAnsi" w:hAnsiTheme="minorHAnsi" w:cstheme="minorHAnsi"/>
          <w:lang w:val="en-AU" w:eastAsia="zh-CN"/>
        </w:rPr>
      </w:pPr>
      <w:r w:rsidRPr="00C571A0">
        <w:rPr>
          <w:rFonts w:asciiTheme="minorHAnsi" w:hAnsiTheme="minorHAnsi" w:cstheme="minorHAnsi"/>
          <w:lang w:val="en-AU" w:eastAsia="zh-CN"/>
        </w:rPr>
        <w:t xml:space="preserve">Angeles, M.R., Wanni </w:t>
      </w:r>
      <w:proofErr w:type="spellStart"/>
      <w:r w:rsidRPr="00C571A0">
        <w:rPr>
          <w:rFonts w:asciiTheme="minorHAnsi" w:hAnsiTheme="minorHAnsi" w:cstheme="minorHAnsi"/>
          <w:lang w:val="en-AU" w:eastAsia="zh-CN"/>
        </w:rPr>
        <w:t>Arachchige</w:t>
      </w:r>
      <w:proofErr w:type="spellEnd"/>
      <w:r w:rsidRPr="00C571A0">
        <w:rPr>
          <w:rFonts w:asciiTheme="minorHAnsi" w:hAnsiTheme="minorHAnsi" w:cstheme="minorHAnsi"/>
          <w:lang w:val="en-AU" w:eastAsia="zh-CN"/>
        </w:rPr>
        <w:t xml:space="preserve"> Dona, S., Nguyen, H.D., </w:t>
      </w:r>
      <w:proofErr w:type="spellStart"/>
      <w:r w:rsidRPr="00C571A0">
        <w:rPr>
          <w:rFonts w:asciiTheme="minorHAnsi" w:hAnsiTheme="minorHAnsi" w:cstheme="minorHAnsi"/>
          <w:lang w:val="en-AU" w:eastAsia="zh-CN"/>
        </w:rPr>
        <w:t>Khanh</w:t>
      </w:r>
      <w:proofErr w:type="spellEnd"/>
      <w:r w:rsidRPr="00C571A0">
        <w:rPr>
          <w:rFonts w:asciiTheme="minorHAnsi" w:hAnsiTheme="minorHAnsi" w:cstheme="minorHAnsi"/>
          <w:lang w:val="en-AU" w:eastAsia="zh-CN"/>
        </w:rPr>
        <w:t xml:space="preserve">-Dao Le, L. &amp; </w:t>
      </w:r>
      <w:proofErr w:type="spellStart"/>
      <w:r w:rsidRPr="00C571A0">
        <w:rPr>
          <w:rFonts w:asciiTheme="minorHAnsi" w:hAnsiTheme="minorHAnsi" w:cstheme="minorHAnsi"/>
          <w:lang w:val="en-AU" w:eastAsia="zh-CN"/>
        </w:rPr>
        <w:t>Hensher</w:t>
      </w:r>
      <w:proofErr w:type="spellEnd"/>
      <w:r w:rsidRPr="00C571A0">
        <w:rPr>
          <w:rFonts w:asciiTheme="minorHAnsi" w:hAnsiTheme="minorHAnsi" w:cstheme="minorHAnsi"/>
          <w:lang w:val="en-AU" w:eastAsia="zh-CN"/>
        </w:rPr>
        <w:t xml:space="preserve">, M. (2022) ‘Modelling the potential acute and post-acute burden of </w:t>
      </w:r>
      <w:r w:rsidR="00F9793D">
        <w:rPr>
          <w:rFonts w:asciiTheme="minorHAnsi" w:hAnsiTheme="minorHAnsi" w:cstheme="minorHAnsi"/>
          <w:lang w:val="en-AU" w:eastAsia="zh-CN"/>
        </w:rPr>
        <w:t>COVID</w:t>
      </w:r>
      <w:r w:rsidRPr="00C571A0">
        <w:rPr>
          <w:rFonts w:asciiTheme="minorHAnsi" w:hAnsiTheme="minorHAnsi" w:cstheme="minorHAnsi"/>
          <w:lang w:val="en-AU" w:eastAsia="zh-CN"/>
        </w:rPr>
        <w:t xml:space="preserve">-19 under the Australian border re-opening plan’, </w:t>
      </w:r>
      <w:r w:rsidRPr="00C571A0">
        <w:rPr>
          <w:rFonts w:asciiTheme="minorHAnsi" w:hAnsiTheme="minorHAnsi" w:cstheme="minorHAnsi"/>
          <w:i/>
          <w:iCs/>
          <w:lang w:val="en-AU" w:eastAsia="zh-CN"/>
        </w:rPr>
        <w:t>BMC Public Health</w:t>
      </w:r>
      <w:r w:rsidRPr="00C571A0">
        <w:rPr>
          <w:rFonts w:asciiTheme="minorHAnsi" w:hAnsiTheme="minorHAnsi" w:cstheme="minorHAnsi"/>
          <w:lang w:val="en-AU" w:eastAsia="zh-CN"/>
        </w:rPr>
        <w:t>, 22(757).  &lt;</w:t>
      </w:r>
      <w:hyperlink r:id="rId15" w:history="1">
        <w:r w:rsidRPr="00C571A0">
          <w:rPr>
            <w:rStyle w:val="Hyperlink"/>
            <w:rFonts w:asciiTheme="minorHAnsi" w:hAnsiTheme="minorHAnsi" w:cstheme="minorHAnsi"/>
            <w:lang w:val="en-AU" w:eastAsia="zh-CN"/>
          </w:rPr>
          <w:t>https://doi.org/10.1186/s12889-022-13169-x</w:t>
        </w:r>
      </w:hyperlink>
      <w:r w:rsidRPr="00C571A0">
        <w:rPr>
          <w:rFonts w:asciiTheme="minorHAnsi" w:hAnsiTheme="minorHAnsi" w:cstheme="minorHAnsi"/>
          <w:lang w:val="en-AU" w:eastAsia="zh-CN"/>
        </w:rPr>
        <w:t xml:space="preserve">&gt; </w:t>
      </w:r>
    </w:p>
    <w:p w14:paraId="6362175B" w14:textId="1C77E367" w:rsidR="00C571A0" w:rsidRPr="00C571A0" w:rsidRDefault="00C571A0" w:rsidP="00C571A0">
      <w:pPr>
        <w:rPr>
          <w:rFonts w:asciiTheme="minorHAnsi" w:hAnsiTheme="minorHAnsi" w:cstheme="minorHAnsi"/>
          <w:lang w:val="en-AU" w:eastAsia="zh-CN"/>
        </w:rPr>
      </w:pPr>
      <w:r w:rsidRPr="00C571A0">
        <w:rPr>
          <w:rFonts w:asciiTheme="minorHAnsi" w:hAnsiTheme="minorHAnsi" w:cstheme="minorHAnsi"/>
          <w:lang w:val="en-AU" w:eastAsia="zh-CN"/>
        </w:rPr>
        <w:t xml:space="preserve">Baillie, A., </w:t>
      </w:r>
      <w:proofErr w:type="spellStart"/>
      <w:r w:rsidRPr="00C571A0">
        <w:rPr>
          <w:rFonts w:asciiTheme="minorHAnsi" w:hAnsiTheme="minorHAnsi" w:cstheme="minorHAnsi"/>
          <w:lang w:val="en-AU" w:eastAsia="zh-CN"/>
        </w:rPr>
        <w:t>Teesson</w:t>
      </w:r>
      <w:proofErr w:type="spellEnd"/>
      <w:r w:rsidRPr="00C571A0">
        <w:rPr>
          <w:rFonts w:asciiTheme="minorHAnsi" w:hAnsiTheme="minorHAnsi" w:cstheme="minorHAnsi"/>
          <w:lang w:val="en-AU" w:eastAsia="zh-CN"/>
        </w:rPr>
        <w:t xml:space="preserve">, M., Britton, P. &amp; Sorrell, T. (2022) ‘Triple vaccination seems to reduce the chance of long </w:t>
      </w:r>
      <w:r w:rsidR="00F9793D">
        <w:rPr>
          <w:rFonts w:asciiTheme="minorHAnsi" w:hAnsiTheme="minorHAnsi" w:cstheme="minorHAnsi"/>
          <w:lang w:val="en-AU" w:eastAsia="zh-CN"/>
        </w:rPr>
        <w:t>COVID</w:t>
      </w:r>
      <w:r w:rsidRPr="00C571A0">
        <w:rPr>
          <w:rFonts w:asciiTheme="minorHAnsi" w:hAnsiTheme="minorHAnsi" w:cstheme="minorHAnsi"/>
          <w:lang w:val="en-AU" w:eastAsia="zh-CN"/>
        </w:rPr>
        <w:t xml:space="preserve"> – but we still need to prepare for a jump in cases’, </w:t>
      </w:r>
      <w:r w:rsidRPr="00C571A0">
        <w:rPr>
          <w:rFonts w:asciiTheme="minorHAnsi" w:hAnsiTheme="minorHAnsi" w:cstheme="minorHAnsi"/>
          <w:i/>
          <w:iCs/>
          <w:lang w:val="en-AU" w:eastAsia="zh-CN"/>
        </w:rPr>
        <w:t>The Conversation</w:t>
      </w:r>
      <w:r w:rsidRPr="00C571A0">
        <w:rPr>
          <w:rFonts w:asciiTheme="minorHAnsi" w:hAnsiTheme="minorHAnsi" w:cstheme="minorHAnsi"/>
          <w:lang w:val="en-AU" w:eastAsia="zh-CN"/>
        </w:rPr>
        <w:t>, Accessed 20 October 2022.</w:t>
      </w:r>
      <w:r w:rsidRPr="00C571A0">
        <w:rPr>
          <w:rFonts w:asciiTheme="minorHAnsi" w:hAnsiTheme="minorHAnsi" w:cstheme="minorHAnsi"/>
          <w:lang w:val="en-AU" w:eastAsia="zh-CN"/>
        </w:rPr>
        <w:br/>
        <w:t>&lt;https://theconversation.com/triple-vaccination-seems-to-reduce-the-chance-of-long-</w:t>
      </w:r>
      <w:r w:rsidR="00F9793D">
        <w:rPr>
          <w:rFonts w:asciiTheme="minorHAnsi" w:hAnsiTheme="minorHAnsi" w:cstheme="minorHAnsi"/>
          <w:lang w:val="en-AU" w:eastAsia="zh-CN"/>
        </w:rPr>
        <w:t>COVID</w:t>
      </w:r>
      <w:r w:rsidRPr="00C571A0">
        <w:rPr>
          <w:rFonts w:asciiTheme="minorHAnsi" w:hAnsiTheme="minorHAnsi" w:cstheme="minorHAnsi"/>
          <w:lang w:val="en-AU" w:eastAsia="zh-CN"/>
        </w:rPr>
        <w:t>-but-we-still-need-to-prepare-for-a-jump-in-cases-183428&gt;</w:t>
      </w:r>
    </w:p>
    <w:p w14:paraId="4526F93E" w14:textId="3ECB1E5B" w:rsidR="00C571A0" w:rsidRPr="00C571A0" w:rsidRDefault="00C571A0" w:rsidP="00C571A0">
      <w:pPr>
        <w:rPr>
          <w:rFonts w:asciiTheme="minorHAnsi" w:hAnsiTheme="minorHAnsi" w:cstheme="minorHAnsi"/>
          <w:lang w:val="en-AU" w:eastAsia="zh-CN"/>
        </w:rPr>
      </w:pPr>
      <w:r w:rsidRPr="00C571A0">
        <w:rPr>
          <w:rFonts w:asciiTheme="minorHAnsi" w:hAnsiTheme="minorHAnsi" w:cstheme="minorHAnsi"/>
          <w:lang w:val="en-AU" w:eastAsia="zh-CN"/>
        </w:rPr>
        <w:t xml:space="preserve">Biddle, N. &amp; </w:t>
      </w:r>
      <w:proofErr w:type="spellStart"/>
      <w:r w:rsidRPr="00C571A0">
        <w:rPr>
          <w:rFonts w:asciiTheme="minorHAnsi" w:hAnsiTheme="minorHAnsi" w:cstheme="minorHAnsi"/>
          <w:lang w:val="en-AU" w:eastAsia="zh-CN"/>
        </w:rPr>
        <w:t>Korda</w:t>
      </w:r>
      <w:proofErr w:type="spellEnd"/>
      <w:r w:rsidRPr="00C571A0">
        <w:rPr>
          <w:rFonts w:asciiTheme="minorHAnsi" w:hAnsiTheme="minorHAnsi" w:cstheme="minorHAnsi"/>
          <w:lang w:val="en-AU" w:eastAsia="zh-CN"/>
        </w:rPr>
        <w:t xml:space="preserve">, R. (2022) The experience of </w:t>
      </w:r>
      <w:r w:rsidR="00F9793D">
        <w:rPr>
          <w:rFonts w:asciiTheme="minorHAnsi" w:hAnsiTheme="minorHAnsi" w:cstheme="minorHAnsi"/>
          <w:lang w:val="en-AU" w:eastAsia="zh-CN"/>
        </w:rPr>
        <w:t>COVID</w:t>
      </w:r>
      <w:r w:rsidRPr="00C571A0">
        <w:rPr>
          <w:rFonts w:asciiTheme="minorHAnsi" w:hAnsiTheme="minorHAnsi" w:cstheme="minorHAnsi"/>
          <w:lang w:val="en-AU" w:eastAsia="zh-CN"/>
        </w:rPr>
        <w:t>-19 in Australia, including long-</w:t>
      </w:r>
      <w:r w:rsidR="00F9793D">
        <w:rPr>
          <w:rFonts w:asciiTheme="minorHAnsi" w:hAnsiTheme="minorHAnsi" w:cstheme="minorHAnsi"/>
          <w:lang w:val="en-AU" w:eastAsia="zh-CN"/>
        </w:rPr>
        <w:t>COVID</w:t>
      </w:r>
      <w:r w:rsidRPr="00C571A0">
        <w:rPr>
          <w:rFonts w:asciiTheme="minorHAnsi" w:hAnsiTheme="minorHAnsi" w:cstheme="minorHAnsi"/>
          <w:lang w:val="en-AU" w:eastAsia="zh-CN"/>
        </w:rPr>
        <w:t xml:space="preserve"> – Evidence from the </w:t>
      </w:r>
      <w:r w:rsidR="00F9793D">
        <w:rPr>
          <w:rFonts w:asciiTheme="minorHAnsi" w:hAnsiTheme="minorHAnsi" w:cstheme="minorHAnsi"/>
          <w:lang w:val="en-AU" w:eastAsia="zh-CN"/>
        </w:rPr>
        <w:t>COVID</w:t>
      </w:r>
      <w:r w:rsidRPr="00C571A0">
        <w:rPr>
          <w:rFonts w:asciiTheme="minorHAnsi" w:hAnsiTheme="minorHAnsi" w:cstheme="minorHAnsi"/>
          <w:lang w:val="en-AU" w:eastAsia="zh-CN"/>
        </w:rPr>
        <w:t>-19 Impact Monitoring Survey Series, August 2022, ANU Centre for Social Research and Methods, accessed 20 October 2022.</w:t>
      </w:r>
      <w:r w:rsidRPr="00C571A0">
        <w:rPr>
          <w:rFonts w:asciiTheme="minorHAnsi" w:hAnsiTheme="minorHAnsi" w:cstheme="minorHAnsi"/>
          <w:lang w:val="en-AU" w:eastAsia="zh-CN"/>
        </w:rPr>
        <w:br/>
        <w:t>&lt;https://csrm.cass.anu.edu.au/sites/default/files/docs/2022/10/The_experience_of_</w:t>
      </w:r>
      <w:r w:rsidR="00F9793D">
        <w:rPr>
          <w:rFonts w:asciiTheme="minorHAnsi" w:hAnsiTheme="minorHAnsi" w:cstheme="minorHAnsi"/>
          <w:lang w:val="en-AU" w:eastAsia="zh-CN"/>
        </w:rPr>
        <w:t>COVID</w:t>
      </w:r>
      <w:r w:rsidRPr="00C571A0">
        <w:rPr>
          <w:rFonts w:asciiTheme="minorHAnsi" w:hAnsiTheme="minorHAnsi" w:cstheme="minorHAnsi"/>
          <w:lang w:val="en-AU" w:eastAsia="zh-CN"/>
        </w:rPr>
        <w:t>-19_in_Australia_-_For_web.pdf&gt;</w:t>
      </w:r>
    </w:p>
    <w:p w14:paraId="03348AAE" w14:textId="0310C1CD" w:rsidR="00C571A0" w:rsidRPr="00C571A0" w:rsidRDefault="00C571A0" w:rsidP="00C571A0">
      <w:pPr>
        <w:rPr>
          <w:rFonts w:asciiTheme="minorHAnsi" w:hAnsiTheme="minorHAnsi" w:cstheme="minorHAnsi"/>
          <w:lang w:val="en-AU" w:eastAsia="zh-CN"/>
        </w:rPr>
      </w:pPr>
      <w:r w:rsidRPr="00C571A0">
        <w:rPr>
          <w:rFonts w:asciiTheme="minorHAnsi" w:hAnsiTheme="minorHAnsi" w:cstheme="minorHAnsi"/>
          <w:lang w:val="en-AU" w:eastAsia="zh-CN"/>
        </w:rPr>
        <w:t>Bull-</w:t>
      </w:r>
      <w:proofErr w:type="spellStart"/>
      <w:r w:rsidRPr="00C571A0">
        <w:rPr>
          <w:rFonts w:asciiTheme="minorHAnsi" w:hAnsiTheme="minorHAnsi" w:cstheme="minorHAnsi"/>
          <w:lang w:val="en-AU" w:eastAsia="zh-CN"/>
        </w:rPr>
        <w:t>Otterson</w:t>
      </w:r>
      <w:proofErr w:type="spellEnd"/>
      <w:r w:rsidRPr="00C571A0">
        <w:rPr>
          <w:rFonts w:asciiTheme="minorHAnsi" w:hAnsiTheme="minorHAnsi" w:cstheme="minorHAnsi"/>
          <w:lang w:val="en-AU" w:eastAsia="zh-CN"/>
        </w:rPr>
        <w:t xml:space="preserve">, L., Baca, S., </w:t>
      </w:r>
      <w:proofErr w:type="spellStart"/>
      <w:r w:rsidRPr="00C571A0">
        <w:rPr>
          <w:rFonts w:asciiTheme="minorHAnsi" w:hAnsiTheme="minorHAnsi" w:cstheme="minorHAnsi"/>
          <w:lang w:val="en-AU" w:eastAsia="zh-CN"/>
        </w:rPr>
        <w:t>Saydah</w:t>
      </w:r>
      <w:proofErr w:type="spellEnd"/>
      <w:r w:rsidRPr="00C571A0">
        <w:rPr>
          <w:rFonts w:asciiTheme="minorHAnsi" w:hAnsiTheme="minorHAnsi" w:cstheme="minorHAnsi"/>
          <w:lang w:val="en-AU" w:eastAsia="zh-CN"/>
        </w:rPr>
        <w:t>, S., Boehmer, T.K., Adjei, S., Gray, S. &amp; Harris, A.M. (2022) ‘Post–</w:t>
      </w:r>
      <w:r w:rsidR="00F9793D">
        <w:rPr>
          <w:rFonts w:asciiTheme="minorHAnsi" w:hAnsiTheme="minorHAnsi" w:cstheme="minorHAnsi"/>
          <w:lang w:val="en-AU" w:eastAsia="zh-CN"/>
        </w:rPr>
        <w:t>COVID</w:t>
      </w:r>
      <w:r w:rsidRPr="00C571A0">
        <w:rPr>
          <w:rFonts w:asciiTheme="minorHAnsi" w:hAnsiTheme="minorHAnsi" w:cstheme="minorHAnsi"/>
          <w:lang w:val="en-AU" w:eastAsia="zh-CN"/>
        </w:rPr>
        <w:t xml:space="preserve"> Conditions Among Adult </w:t>
      </w:r>
      <w:r w:rsidR="00F9793D">
        <w:rPr>
          <w:rFonts w:asciiTheme="minorHAnsi" w:hAnsiTheme="minorHAnsi" w:cstheme="minorHAnsi"/>
          <w:lang w:val="en-AU" w:eastAsia="zh-CN"/>
        </w:rPr>
        <w:t>COVID</w:t>
      </w:r>
      <w:r w:rsidRPr="00C571A0">
        <w:rPr>
          <w:rFonts w:asciiTheme="minorHAnsi" w:hAnsiTheme="minorHAnsi" w:cstheme="minorHAnsi"/>
          <w:lang w:val="en-AU" w:eastAsia="zh-CN"/>
        </w:rPr>
        <w:t xml:space="preserve">-19 Survivors Aged 18–64 and ≥65 Years — United States, March 2020–November 2021’, </w:t>
      </w:r>
      <w:r w:rsidRPr="00C571A0">
        <w:rPr>
          <w:rFonts w:asciiTheme="minorHAnsi" w:hAnsiTheme="minorHAnsi" w:cstheme="minorHAnsi"/>
          <w:i/>
          <w:iCs/>
          <w:lang w:val="en-AU" w:eastAsia="zh-CN"/>
        </w:rPr>
        <w:t>Morbidity and Mortality Weekly Report (MMWR)</w:t>
      </w:r>
      <w:r w:rsidRPr="00C571A0">
        <w:rPr>
          <w:rFonts w:asciiTheme="minorHAnsi" w:hAnsiTheme="minorHAnsi" w:cstheme="minorHAnsi"/>
          <w:lang w:val="en-AU" w:eastAsia="zh-CN"/>
        </w:rPr>
        <w:t>, 71(21): 713-717. &lt;</w:t>
      </w:r>
      <w:hyperlink r:id="rId16" w:history="1">
        <w:r w:rsidRPr="00C571A0">
          <w:rPr>
            <w:rStyle w:val="Hyperlink"/>
            <w:rFonts w:asciiTheme="minorHAnsi" w:hAnsiTheme="minorHAnsi" w:cstheme="minorHAnsi"/>
            <w:lang w:val="en-AU" w:eastAsia="zh-CN"/>
          </w:rPr>
          <w:t>http://dx.doi.org/10.15585/mmwr.mm7121e1</w:t>
        </w:r>
      </w:hyperlink>
      <w:r w:rsidRPr="00C571A0">
        <w:rPr>
          <w:rFonts w:asciiTheme="minorHAnsi" w:hAnsiTheme="minorHAnsi" w:cstheme="minorHAnsi"/>
          <w:lang w:val="en-AU" w:eastAsia="zh-CN"/>
        </w:rPr>
        <w:t xml:space="preserve">&gt; </w:t>
      </w:r>
    </w:p>
    <w:p w14:paraId="11B8EFCF" w14:textId="7D7B67A5" w:rsidR="00C571A0" w:rsidRPr="00C571A0" w:rsidRDefault="00C571A0" w:rsidP="00C571A0">
      <w:pPr>
        <w:rPr>
          <w:rFonts w:asciiTheme="minorHAnsi" w:hAnsiTheme="minorHAnsi" w:cstheme="minorHAnsi"/>
          <w:lang w:val="en-AU" w:eastAsia="zh-CN"/>
        </w:rPr>
      </w:pPr>
      <w:r w:rsidRPr="00C571A0">
        <w:rPr>
          <w:rFonts w:asciiTheme="minorHAnsi" w:hAnsiTheme="minorHAnsi" w:cstheme="minorHAnsi"/>
          <w:lang w:val="en-AU" w:eastAsia="zh-CN"/>
        </w:rPr>
        <w:t xml:space="preserve">Dow, A. (2022) ‘Cloud over Victoria’s long </w:t>
      </w:r>
      <w:r w:rsidR="00F9793D">
        <w:rPr>
          <w:rFonts w:asciiTheme="minorHAnsi" w:hAnsiTheme="minorHAnsi" w:cstheme="minorHAnsi"/>
          <w:lang w:val="en-AU" w:eastAsia="zh-CN"/>
        </w:rPr>
        <w:t>COVID</w:t>
      </w:r>
      <w:r w:rsidRPr="00C571A0">
        <w:rPr>
          <w:rFonts w:asciiTheme="minorHAnsi" w:hAnsiTheme="minorHAnsi" w:cstheme="minorHAnsi"/>
          <w:lang w:val="en-AU" w:eastAsia="zh-CN"/>
        </w:rPr>
        <w:t xml:space="preserve"> clinics as federal funding dries up’, </w:t>
      </w:r>
      <w:r w:rsidRPr="00C571A0">
        <w:rPr>
          <w:rFonts w:asciiTheme="minorHAnsi" w:hAnsiTheme="minorHAnsi" w:cstheme="minorHAnsi"/>
          <w:i/>
          <w:iCs/>
          <w:lang w:val="en-AU" w:eastAsia="zh-CN"/>
        </w:rPr>
        <w:t>The Age</w:t>
      </w:r>
      <w:r w:rsidRPr="00C571A0">
        <w:rPr>
          <w:rFonts w:asciiTheme="minorHAnsi" w:hAnsiTheme="minorHAnsi" w:cstheme="minorHAnsi"/>
          <w:lang w:val="en-AU" w:eastAsia="zh-CN"/>
        </w:rPr>
        <w:t>, 24 November 2022, Accessed 28 November 2022.</w:t>
      </w:r>
      <w:r w:rsidRPr="00C571A0">
        <w:rPr>
          <w:rFonts w:asciiTheme="minorHAnsi" w:hAnsiTheme="minorHAnsi" w:cstheme="minorHAnsi"/>
          <w:lang w:val="en-AU" w:eastAsia="zh-CN"/>
        </w:rPr>
        <w:br/>
      </w:r>
      <w:r w:rsidRPr="00C571A0">
        <w:rPr>
          <w:rFonts w:asciiTheme="minorHAnsi" w:hAnsiTheme="minorHAnsi" w:cstheme="minorHAnsi"/>
          <w:lang w:val="en-AU" w:eastAsia="zh-CN"/>
        </w:rPr>
        <w:lastRenderedPageBreak/>
        <w:t>&lt;https://www.theage.com.au/national/victoria/cloud-over-victoria-s-long-</w:t>
      </w:r>
      <w:r w:rsidR="00F9793D">
        <w:rPr>
          <w:rFonts w:asciiTheme="minorHAnsi" w:hAnsiTheme="minorHAnsi" w:cstheme="minorHAnsi"/>
          <w:lang w:val="en-AU" w:eastAsia="zh-CN"/>
        </w:rPr>
        <w:t>COVID</w:t>
      </w:r>
      <w:r w:rsidRPr="00C571A0">
        <w:rPr>
          <w:rFonts w:asciiTheme="minorHAnsi" w:hAnsiTheme="minorHAnsi" w:cstheme="minorHAnsi"/>
          <w:lang w:val="en-AU" w:eastAsia="zh-CN"/>
        </w:rPr>
        <w:t>-clinics-as-federal-funding-dries-up-20221121-p5bzw3.html&gt;</w:t>
      </w:r>
    </w:p>
    <w:p w14:paraId="7ED48D52" w14:textId="0DDBB5EC" w:rsidR="00C571A0" w:rsidRPr="00C571A0" w:rsidRDefault="00C571A0" w:rsidP="00C571A0">
      <w:pPr>
        <w:rPr>
          <w:rFonts w:asciiTheme="minorHAnsi" w:hAnsiTheme="minorHAnsi" w:cstheme="minorHAnsi"/>
          <w:lang w:val="en-AU" w:eastAsia="zh-CN"/>
        </w:rPr>
      </w:pPr>
      <w:r w:rsidRPr="00C571A0">
        <w:rPr>
          <w:rFonts w:asciiTheme="minorHAnsi" w:hAnsiTheme="minorHAnsi" w:cstheme="minorHAnsi"/>
          <w:lang w:val="en-AU" w:eastAsia="zh-CN"/>
        </w:rPr>
        <w:t xml:space="preserve">Johnson, S. (2022) ‘Half a million Australians could soon be experiencing long </w:t>
      </w:r>
      <w:r w:rsidR="00F9793D">
        <w:rPr>
          <w:rFonts w:asciiTheme="minorHAnsi" w:hAnsiTheme="minorHAnsi" w:cstheme="minorHAnsi"/>
          <w:lang w:val="en-AU" w:eastAsia="zh-CN"/>
        </w:rPr>
        <w:t>COVID</w:t>
      </w:r>
      <w:r w:rsidRPr="00C571A0">
        <w:rPr>
          <w:rFonts w:asciiTheme="minorHAnsi" w:hAnsiTheme="minorHAnsi" w:cstheme="minorHAnsi"/>
          <w:lang w:val="en-AU" w:eastAsia="zh-CN"/>
        </w:rPr>
        <w:t xml:space="preserve">. </w:t>
      </w:r>
      <w:proofErr w:type="gramStart"/>
      <w:r w:rsidRPr="00C571A0">
        <w:rPr>
          <w:rFonts w:asciiTheme="minorHAnsi" w:hAnsiTheme="minorHAnsi" w:cstheme="minorHAnsi"/>
          <w:lang w:val="en-AU" w:eastAsia="zh-CN"/>
        </w:rPr>
        <w:t>So</w:t>
      </w:r>
      <w:proofErr w:type="gramEnd"/>
      <w:r w:rsidRPr="00C571A0">
        <w:rPr>
          <w:rFonts w:asciiTheme="minorHAnsi" w:hAnsiTheme="minorHAnsi" w:cstheme="minorHAnsi"/>
          <w:lang w:val="en-AU" w:eastAsia="zh-CN"/>
        </w:rPr>
        <w:t xml:space="preserve"> what do we know, and what support is available?’, </w:t>
      </w:r>
      <w:r w:rsidRPr="00C571A0">
        <w:rPr>
          <w:rFonts w:asciiTheme="minorHAnsi" w:hAnsiTheme="minorHAnsi" w:cstheme="minorHAnsi"/>
          <w:i/>
          <w:iCs/>
          <w:lang w:val="en-AU" w:eastAsia="zh-CN"/>
        </w:rPr>
        <w:t>ABC News</w:t>
      </w:r>
      <w:r w:rsidRPr="00C571A0">
        <w:rPr>
          <w:rFonts w:asciiTheme="minorHAnsi" w:hAnsiTheme="minorHAnsi" w:cstheme="minorHAnsi"/>
          <w:lang w:val="en-AU" w:eastAsia="zh-CN"/>
        </w:rPr>
        <w:t>, 23 November 2022, Accessed 26 November 2022.</w:t>
      </w:r>
      <w:r w:rsidRPr="00C571A0">
        <w:rPr>
          <w:rFonts w:asciiTheme="minorHAnsi" w:hAnsiTheme="minorHAnsi" w:cstheme="minorHAnsi"/>
          <w:lang w:val="en-AU" w:eastAsia="zh-CN"/>
        </w:rPr>
        <w:br/>
        <w:t>&lt;https://www.abc.net.au/news/2022-11-23/long-</w:t>
      </w:r>
      <w:r w:rsidR="00F9793D">
        <w:rPr>
          <w:rFonts w:asciiTheme="minorHAnsi" w:hAnsiTheme="minorHAnsi" w:cstheme="minorHAnsi"/>
          <w:lang w:val="en-AU" w:eastAsia="zh-CN"/>
        </w:rPr>
        <w:t>COVID</w:t>
      </w:r>
      <w:r w:rsidRPr="00C571A0">
        <w:rPr>
          <w:rFonts w:asciiTheme="minorHAnsi" w:hAnsiTheme="minorHAnsi" w:cstheme="minorHAnsi"/>
          <w:lang w:val="en-AU" w:eastAsia="zh-CN"/>
        </w:rPr>
        <w:t>-cases-mount-amid-omicron-wave/101650436&gt;</w:t>
      </w:r>
    </w:p>
    <w:p w14:paraId="0AA30845" w14:textId="422A1126" w:rsidR="003B351D" w:rsidRDefault="003B351D" w:rsidP="003B351D">
      <w:pPr>
        <w:rPr>
          <w:rFonts w:asciiTheme="minorHAnsi" w:hAnsiTheme="minorHAnsi" w:cstheme="minorHAnsi"/>
          <w:lang w:val="en-AU" w:eastAsia="zh-CN"/>
        </w:rPr>
      </w:pPr>
      <w:r>
        <w:rPr>
          <w:rFonts w:asciiTheme="minorHAnsi" w:hAnsiTheme="minorHAnsi" w:cstheme="minorHAnsi"/>
          <w:lang w:val="en-AU" w:eastAsia="zh-CN"/>
        </w:rPr>
        <w:t xml:space="preserve">Leeuw, E., </w:t>
      </w:r>
      <w:proofErr w:type="spellStart"/>
      <w:r w:rsidRPr="002778B6">
        <w:rPr>
          <w:rFonts w:asciiTheme="minorHAnsi" w:hAnsiTheme="minorHAnsi" w:cstheme="minorHAnsi"/>
          <w:lang w:val="en-AU" w:eastAsia="zh-CN"/>
        </w:rPr>
        <w:t>Yashadhana</w:t>
      </w:r>
      <w:proofErr w:type="spellEnd"/>
      <w:r>
        <w:rPr>
          <w:rFonts w:asciiTheme="minorHAnsi" w:hAnsiTheme="minorHAnsi" w:cstheme="minorHAnsi"/>
          <w:lang w:val="en-AU" w:eastAsia="zh-CN"/>
        </w:rPr>
        <w:t>, A. &amp; Hitch, D. (2022) ‘</w:t>
      </w:r>
      <w:r w:rsidRPr="00E45D09">
        <w:rPr>
          <w:rFonts w:asciiTheme="minorHAnsi" w:hAnsiTheme="minorHAnsi" w:cstheme="minorHAnsi"/>
          <w:lang w:val="en-AU" w:eastAsia="zh-CN"/>
        </w:rPr>
        <w:t xml:space="preserve">Long </w:t>
      </w:r>
      <w:r w:rsidR="00F9793D">
        <w:rPr>
          <w:rFonts w:asciiTheme="minorHAnsi" w:hAnsiTheme="minorHAnsi" w:cstheme="minorHAnsi"/>
          <w:lang w:val="en-AU" w:eastAsia="zh-CN"/>
        </w:rPr>
        <w:t>COVID</w:t>
      </w:r>
      <w:r w:rsidRPr="00E45D09">
        <w:rPr>
          <w:rFonts w:asciiTheme="minorHAnsi" w:hAnsiTheme="minorHAnsi" w:cstheme="minorHAnsi"/>
          <w:lang w:val="en-AU" w:eastAsia="zh-CN"/>
        </w:rPr>
        <w:t>: sustained and multiplied disadvantage</w:t>
      </w:r>
      <w:r>
        <w:rPr>
          <w:rFonts w:asciiTheme="minorHAnsi" w:hAnsiTheme="minorHAnsi" w:cstheme="minorHAnsi"/>
          <w:lang w:val="en-AU" w:eastAsia="zh-CN"/>
        </w:rPr>
        <w:t xml:space="preserve">’, </w:t>
      </w:r>
      <w:r>
        <w:rPr>
          <w:rFonts w:asciiTheme="minorHAnsi" w:hAnsiTheme="minorHAnsi" w:cstheme="minorHAnsi"/>
          <w:i/>
          <w:iCs/>
          <w:lang w:val="en-AU" w:eastAsia="zh-CN"/>
        </w:rPr>
        <w:t>The Medical Journal of Australia</w:t>
      </w:r>
      <w:r>
        <w:rPr>
          <w:rFonts w:asciiTheme="minorHAnsi" w:hAnsiTheme="minorHAnsi" w:cstheme="minorHAnsi"/>
          <w:lang w:val="en-AU" w:eastAsia="zh-CN"/>
        </w:rPr>
        <w:t xml:space="preserve">, </w:t>
      </w:r>
      <w:r w:rsidRPr="00EB58D3">
        <w:rPr>
          <w:rFonts w:asciiTheme="minorHAnsi" w:hAnsiTheme="minorHAnsi" w:cstheme="minorHAnsi"/>
          <w:lang w:val="en-AU" w:eastAsia="zh-CN"/>
        </w:rPr>
        <w:t>216 (5): 222-224.</w:t>
      </w:r>
    </w:p>
    <w:p w14:paraId="6A6782AC" w14:textId="5FF63C2F" w:rsidR="00C571A0" w:rsidRPr="00C571A0" w:rsidRDefault="00C571A0" w:rsidP="00C571A0">
      <w:pPr>
        <w:rPr>
          <w:rFonts w:asciiTheme="minorHAnsi" w:hAnsiTheme="minorHAnsi" w:cstheme="minorHAnsi"/>
          <w:lang w:val="en-AU" w:eastAsia="zh-CN"/>
        </w:rPr>
      </w:pPr>
      <w:r w:rsidRPr="00C571A0">
        <w:rPr>
          <w:rFonts w:asciiTheme="minorHAnsi" w:hAnsiTheme="minorHAnsi" w:cstheme="minorHAnsi"/>
          <w:lang w:val="en-AU" w:eastAsia="zh-CN"/>
        </w:rPr>
        <w:t xml:space="preserve">Liu, B., </w:t>
      </w:r>
      <w:proofErr w:type="spellStart"/>
      <w:r w:rsidRPr="00C571A0">
        <w:rPr>
          <w:rFonts w:asciiTheme="minorHAnsi" w:hAnsiTheme="minorHAnsi" w:cstheme="minorHAnsi"/>
          <w:lang w:val="en-AU" w:eastAsia="zh-CN"/>
        </w:rPr>
        <w:t>Jayasundara</w:t>
      </w:r>
      <w:proofErr w:type="spellEnd"/>
      <w:r w:rsidRPr="00C571A0">
        <w:rPr>
          <w:rFonts w:asciiTheme="minorHAnsi" w:hAnsiTheme="minorHAnsi" w:cstheme="minorHAnsi"/>
          <w:lang w:val="en-AU" w:eastAsia="zh-CN"/>
        </w:rPr>
        <w:t xml:space="preserve">, D., Pye, V., Dobbins, T., Dore, G.J., Matthews, G., Kaldor, J. &amp; Spokes, P. (2021) ‘Whole of population-based cohort study of recovery time from </w:t>
      </w:r>
      <w:r w:rsidR="00F9793D">
        <w:rPr>
          <w:rFonts w:asciiTheme="minorHAnsi" w:hAnsiTheme="minorHAnsi" w:cstheme="minorHAnsi"/>
          <w:lang w:val="en-AU" w:eastAsia="zh-CN"/>
        </w:rPr>
        <w:t>COVID</w:t>
      </w:r>
      <w:r w:rsidRPr="00C571A0">
        <w:rPr>
          <w:rFonts w:asciiTheme="minorHAnsi" w:hAnsiTheme="minorHAnsi" w:cstheme="minorHAnsi"/>
          <w:lang w:val="en-AU" w:eastAsia="zh-CN"/>
        </w:rPr>
        <w:t xml:space="preserve">-19 in New South Wales Australia’, </w:t>
      </w:r>
      <w:r w:rsidRPr="00C571A0">
        <w:rPr>
          <w:rFonts w:asciiTheme="minorHAnsi" w:hAnsiTheme="minorHAnsi" w:cstheme="minorHAnsi"/>
          <w:i/>
          <w:iCs/>
          <w:lang w:val="en-AU" w:eastAsia="zh-CN"/>
        </w:rPr>
        <w:t>The Lancet Regional Health - Western Pacific</w:t>
      </w:r>
      <w:r w:rsidRPr="00C571A0">
        <w:rPr>
          <w:rFonts w:asciiTheme="minorHAnsi" w:hAnsiTheme="minorHAnsi" w:cstheme="minorHAnsi"/>
          <w:lang w:val="en-AU" w:eastAsia="zh-CN"/>
        </w:rPr>
        <w:t>, 12. &lt;</w:t>
      </w:r>
      <w:hyperlink r:id="rId17" w:history="1">
        <w:r w:rsidRPr="00C571A0">
          <w:rPr>
            <w:rStyle w:val="Hyperlink"/>
            <w:rFonts w:asciiTheme="minorHAnsi" w:hAnsiTheme="minorHAnsi" w:cstheme="minorHAnsi"/>
            <w:lang w:val="en-AU" w:eastAsia="zh-CN"/>
          </w:rPr>
          <w:t>https://doi.org/10.1016/j.lanwpc.2021.100193</w:t>
        </w:r>
      </w:hyperlink>
      <w:r w:rsidRPr="00C571A0">
        <w:rPr>
          <w:rFonts w:asciiTheme="minorHAnsi" w:hAnsiTheme="minorHAnsi" w:cstheme="minorHAnsi"/>
          <w:lang w:val="en-AU" w:eastAsia="zh-CN"/>
        </w:rPr>
        <w:t xml:space="preserve">&gt; </w:t>
      </w:r>
    </w:p>
    <w:p w14:paraId="200CDEBF" w14:textId="1840698A" w:rsidR="00C571A0" w:rsidRPr="00C571A0" w:rsidRDefault="00C571A0" w:rsidP="00C571A0">
      <w:pPr>
        <w:rPr>
          <w:rFonts w:asciiTheme="minorHAnsi" w:hAnsiTheme="minorHAnsi" w:cstheme="minorHAnsi"/>
        </w:rPr>
      </w:pPr>
      <w:r w:rsidRPr="00C571A0">
        <w:rPr>
          <w:rFonts w:asciiTheme="minorHAnsi" w:hAnsiTheme="minorHAnsi" w:cstheme="minorHAnsi"/>
        </w:rPr>
        <w:t xml:space="preserve">Mannix, L. (2022) ‘Long </w:t>
      </w:r>
      <w:r w:rsidR="00F9793D">
        <w:rPr>
          <w:rFonts w:asciiTheme="minorHAnsi" w:hAnsiTheme="minorHAnsi" w:cstheme="minorHAnsi"/>
        </w:rPr>
        <w:t>COVID</w:t>
      </w:r>
      <w:r w:rsidRPr="00C571A0">
        <w:rPr>
          <w:rFonts w:asciiTheme="minorHAnsi" w:hAnsiTheme="minorHAnsi" w:cstheme="minorHAnsi"/>
        </w:rPr>
        <w:t xml:space="preserve"> clinics ‘inundated’ with patients, and doctors can’t cope’, </w:t>
      </w:r>
      <w:r w:rsidRPr="00C571A0">
        <w:rPr>
          <w:rFonts w:asciiTheme="minorHAnsi" w:hAnsiTheme="minorHAnsi" w:cstheme="minorHAnsi"/>
          <w:i/>
          <w:iCs/>
        </w:rPr>
        <w:t>The Age</w:t>
      </w:r>
      <w:r w:rsidRPr="00C571A0">
        <w:rPr>
          <w:rFonts w:asciiTheme="minorHAnsi" w:hAnsiTheme="minorHAnsi" w:cstheme="minorHAnsi"/>
        </w:rPr>
        <w:t>, 10 November 2022, Accessed 25 November 2022.</w:t>
      </w:r>
      <w:r w:rsidRPr="00C571A0">
        <w:rPr>
          <w:rFonts w:asciiTheme="minorHAnsi" w:hAnsiTheme="minorHAnsi" w:cstheme="minorHAnsi"/>
        </w:rPr>
        <w:br/>
        <w:t>&lt;https://www.theage.com.au/national/long-</w:t>
      </w:r>
      <w:r w:rsidR="00F9793D">
        <w:rPr>
          <w:rFonts w:asciiTheme="minorHAnsi" w:hAnsiTheme="minorHAnsi" w:cstheme="minorHAnsi"/>
        </w:rPr>
        <w:t>COVID</w:t>
      </w:r>
      <w:r w:rsidRPr="00C571A0">
        <w:rPr>
          <w:rFonts w:asciiTheme="minorHAnsi" w:hAnsiTheme="minorHAnsi" w:cstheme="minorHAnsi"/>
        </w:rPr>
        <w:t>-clinics-inundated-with-patients-and-doctors-can-t-cope-20221109-p5bwqp.html&gt;</w:t>
      </w:r>
    </w:p>
    <w:p w14:paraId="28CA0C32" w14:textId="3108DF99" w:rsidR="00C571A0" w:rsidRPr="00C571A0" w:rsidRDefault="00C571A0" w:rsidP="00C571A0">
      <w:pPr>
        <w:rPr>
          <w:rFonts w:asciiTheme="minorHAnsi" w:hAnsiTheme="minorHAnsi" w:cstheme="minorHAnsi"/>
        </w:rPr>
      </w:pPr>
      <w:r w:rsidRPr="00C571A0">
        <w:rPr>
          <w:rFonts w:asciiTheme="minorHAnsi" w:hAnsiTheme="minorHAnsi" w:cstheme="minorHAnsi"/>
        </w:rPr>
        <w:t xml:space="preserve">National Institute for Health and Care Research (NIHR) (2022) </w:t>
      </w:r>
      <w:r w:rsidRPr="00C571A0">
        <w:rPr>
          <w:rFonts w:asciiTheme="minorHAnsi" w:hAnsiTheme="minorHAnsi" w:cstheme="minorHAnsi"/>
          <w:i/>
          <w:iCs/>
        </w:rPr>
        <w:t xml:space="preserve">Researching long </w:t>
      </w:r>
      <w:r w:rsidR="00F9793D">
        <w:rPr>
          <w:rFonts w:asciiTheme="minorHAnsi" w:hAnsiTheme="minorHAnsi" w:cstheme="minorHAnsi"/>
          <w:i/>
          <w:iCs/>
        </w:rPr>
        <w:t>COVID</w:t>
      </w:r>
      <w:r w:rsidRPr="00C571A0">
        <w:rPr>
          <w:rFonts w:asciiTheme="minorHAnsi" w:hAnsiTheme="minorHAnsi" w:cstheme="minorHAnsi"/>
        </w:rPr>
        <w:t>, Accessed 25 November 2022.</w:t>
      </w:r>
      <w:r w:rsidRPr="00C571A0">
        <w:rPr>
          <w:rFonts w:asciiTheme="minorHAnsi" w:hAnsiTheme="minorHAnsi" w:cstheme="minorHAnsi"/>
        </w:rPr>
        <w:br/>
        <w:t>&lt;https://www.nihr.ac.uk/</w:t>
      </w:r>
      <w:r w:rsidR="00F9793D">
        <w:rPr>
          <w:rFonts w:asciiTheme="minorHAnsi" w:hAnsiTheme="minorHAnsi" w:cstheme="minorHAnsi"/>
        </w:rPr>
        <w:t>COVID</w:t>
      </w:r>
      <w:r w:rsidRPr="00C571A0">
        <w:rPr>
          <w:rFonts w:asciiTheme="minorHAnsi" w:hAnsiTheme="minorHAnsi" w:cstheme="minorHAnsi"/>
        </w:rPr>
        <w:t>-19/researching-the-long-term-impact.htm#:~:text=Research%20into%20long%20</w:t>
      </w:r>
      <w:r w:rsidR="00F9793D">
        <w:rPr>
          <w:rFonts w:asciiTheme="minorHAnsi" w:hAnsiTheme="minorHAnsi" w:cstheme="minorHAnsi"/>
        </w:rPr>
        <w:t>COVID</w:t>
      </w:r>
      <w:r w:rsidRPr="00C571A0">
        <w:rPr>
          <w:rFonts w:asciiTheme="minorHAnsi" w:hAnsiTheme="minorHAnsi" w:cstheme="minorHAnsi"/>
        </w:rPr>
        <w:t>,in%20long%20</w:t>
      </w:r>
      <w:r w:rsidR="00F9793D">
        <w:rPr>
          <w:rFonts w:asciiTheme="minorHAnsi" w:hAnsiTheme="minorHAnsi" w:cstheme="minorHAnsi"/>
        </w:rPr>
        <w:t>COVID</w:t>
      </w:r>
      <w:r w:rsidRPr="00C571A0">
        <w:rPr>
          <w:rFonts w:asciiTheme="minorHAnsi" w:hAnsiTheme="minorHAnsi" w:cstheme="minorHAnsi"/>
        </w:rPr>
        <w:t>%20research%20projects.&gt;</w:t>
      </w:r>
    </w:p>
    <w:p w14:paraId="6A42A697" w14:textId="39D1DC93" w:rsidR="00C571A0" w:rsidRPr="00C571A0" w:rsidRDefault="00C571A0" w:rsidP="00C571A0">
      <w:pPr>
        <w:rPr>
          <w:rFonts w:asciiTheme="minorHAnsi" w:hAnsiTheme="minorHAnsi" w:cstheme="minorHAnsi"/>
          <w:i/>
          <w:iCs/>
        </w:rPr>
      </w:pPr>
      <w:proofErr w:type="spellStart"/>
      <w:r w:rsidRPr="00C571A0">
        <w:rPr>
          <w:rFonts w:asciiTheme="minorHAnsi" w:hAnsiTheme="minorHAnsi" w:cstheme="minorHAnsi"/>
        </w:rPr>
        <w:t>OzSage</w:t>
      </w:r>
      <w:proofErr w:type="spellEnd"/>
      <w:r w:rsidRPr="00C571A0">
        <w:rPr>
          <w:rFonts w:asciiTheme="minorHAnsi" w:hAnsiTheme="minorHAnsi" w:cstheme="minorHAnsi"/>
        </w:rPr>
        <w:t xml:space="preserve"> (2022) </w:t>
      </w:r>
      <w:proofErr w:type="spellStart"/>
      <w:r w:rsidRPr="00C571A0">
        <w:rPr>
          <w:rFonts w:asciiTheme="minorHAnsi" w:hAnsiTheme="minorHAnsi" w:cstheme="minorHAnsi"/>
          <w:i/>
          <w:iCs/>
        </w:rPr>
        <w:t>OzSAGE</w:t>
      </w:r>
      <w:proofErr w:type="spellEnd"/>
      <w:r w:rsidRPr="00C571A0">
        <w:rPr>
          <w:rFonts w:asciiTheme="minorHAnsi" w:hAnsiTheme="minorHAnsi" w:cstheme="minorHAnsi"/>
          <w:i/>
          <w:iCs/>
        </w:rPr>
        <w:t xml:space="preserve"> submission for the Inquiry into Long </w:t>
      </w:r>
      <w:r w:rsidR="00F9793D">
        <w:rPr>
          <w:rFonts w:asciiTheme="minorHAnsi" w:hAnsiTheme="minorHAnsi" w:cstheme="minorHAnsi"/>
          <w:i/>
          <w:iCs/>
        </w:rPr>
        <w:t>COVID</w:t>
      </w:r>
      <w:r w:rsidRPr="00C571A0">
        <w:rPr>
          <w:rFonts w:asciiTheme="minorHAnsi" w:hAnsiTheme="minorHAnsi" w:cstheme="minorHAnsi"/>
          <w:i/>
          <w:iCs/>
        </w:rPr>
        <w:t xml:space="preserve"> and Repeated </w:t>
      </w:r>
      <w:r w:rsidR="00F9793D">
        <w:rPr>
          <w:rFonts w:asciiTheme="minorHAnsi" w:hAnsiTheme="minorHAnsi" w:cstheme="minorHAnsi"/>
          <w:i/>
          <w:iCs/>
        </w:rPr>
        <w:t>COVID</w:t>
      </w:r>
      <w:r w:rsidRPr="00C571A0">
        <w:rPr>
          <w:rFonts w:asciiTheme="minorHAnsi" w:hAnsiTheme="minorHAnsi" w:cstheme="minorHAnsi"/>
          <w:i/>
          <w:iCs/>
        </w:rPr>
        <w:t xml:space="preserve"> Infections – Parliament of Australia</w:t>
      </w:r>
      <w:r w:rsidRPr="00C571A0">
        <w:rPr>
          <w:rFonts w:asciiTheme="minorHAnsi" w:hAnsiTheme="minorHAnsi" w:cstheme="minorHAnsi"/>
        </w:rPr>
        <w:t>, Accessed 28 November 2022.</w:t>
      </w:r>
      <w:r w:rsidRPr="00C571A0">
        <w:rPr>
          <w:rFonts w:asciiTheme="minorHAnsi" w:hAnsiTheme="minorHAnsi" w:cstheme="minorHAnsi"/>
        </w:rPr>
        <w:br/>
        <w:t>&lt;https://ozsage.org/media_releases/long-</w:t>
      </w:r>
      <w:r w:rsidR="00F9793D">
        <w:rPr>
          <w:rFonts w:asciiTheme="minorHAnsi" w:hAnsiTheme="minorHAnsi" w:cstheme="minorHAnsi"/>
        </w:rPr>
        <w:t>COVID</w:t>
      </w:r>
      <w:r w:rsidRPr="00C571A0">
        <w:rPr>
          <w:rFonts w:asciiTheme="minorHAnsi" w:hAnsiTheme="minorHAnsi" w:cstheme="minorHAnsi"/>
        </w:rPr>
        <w:t>-ozsage-makes-detailed-submission-to-the-parliamentary-inquiry/&gt;</w:t>
      </w:r>
    </w:p>
    <w:p w14:paraId="19FDD330" w14:textId="6EE1281D" w:rsidR="00C571A0" w:rsidRPr="00C571A0" w:rsidRDefault="00C571A0" w:rsidP="00C571A0">
      <w:pPr>
        <w:rPr>
          <w:rFonts w:asciiTheme="minorHAnsi" w:hAnsiTheme="minorHAnsi" w:cstheme="minorHAnsi"/>
        </w:rPr>
      </w:pPr>
      <w:proofErr w:type="spellStart"/>
      <w:r w:rsidRPr="00C571A0">
        <w:rPr>
          <w:rFonts w:asciiTheme="minorHAnsi" w:hAnsiTheme="minorHAnsi" w:cstheme="minorHAnsi"/>
        </w:rPr>
        <w:t>Radulova</w:t>
      </w:r>
      <w:proofErr w:type="spellEnd"/>
      <w:r w:rsidRPr="00C571A0">
        <w:rPr>
          <w:rFonts w:asciiTheme="minorHAnsi" w:hAnsiTheme="minorHAnsi" w:cstheme="minorHAnsi"/>
        </w:rPr>
        <w:t xml:space="preserve">, L. (2022) ‘Chief Medical Officer Paul Kelly downplayed long </w:t>
      </w:r>
      <w:r w:rsidR="00F9793D">
        <w:rPr>
          <w:rFonts w:asciiTheme="minorHAnsi" w:hAnsiTheme="minorHAnsi" w:cstheme="minorHAnsi"/>
        </w:rPr>
        <w:t>COVID</w:t>
      </w:r>
      <w:r w:rsidRPr="00C571A0">
        <w:rPr>
          <w:rFonts w:asciiTheme="minorHAnsi" w:hAnsiTheme="minorHAnsi" w:cstheme="minorHAnsi"/>
        </w:rPr>
        <w:t xml:space="preserve"> while justifying end of isolation requirements, medical specialist says’, </w:t>
      </w:r>
      <w:r w:rsidRPr="00C571A0">
        <w:rPr>
          <w:rFonts w:asciiTheme="minorHAnsi" w:hAnsiTheme="minorHAnsi" w:cstheme="minorHAnsi"/>
          <w:i/>
          <w:iCs/>
        </w:rPr>
        <w:t>ABC News</w:t>
      </w:r>
      <w:r w:rsidRPr="00C571A0">
        <w:rPr>
          <w:rFonts w:asciiTheme="minorHAnsi" w:hAnsiTheme="minorHAnsi" w:cstheme="minorHAnsi"/>
        </w:rPr>
        <w:t>, 11 October 2022, Accessed 25 October 2022.</w:t>
      </w:r>
      <w:r w:rsidRPr="00C571A0">
        <w:rPr>
          <w:rFonts w:asciiTheme="minorHAnsi" w:hAnsiTheme="minorHAnsi" w:cstheme="minorHAnsi"/>
        </w:rPr>
        <w:br/>
        <w:t>&lt;https://www.abc.net.au/news/2022-10-11/cmo-paul-kelly-downplayed-long-</w:t>
      </w:r>
      <w:r w:rsidR="00F9793D">
        <w:rPr>
          <w:rFonts w:asciiTheme="minorHAnsi" w:hAnsiTheme="minorHAnsi" w:cstheme="minorHAnsi"/>
        </w:rPr>
        <w:t>COVID</w:t>
      </w:r>
      <w:r w:rsidRPr="00C571A0">
        <w:rPr>
          <w:rFonts w:asciiTheme="minorHAnsi" w:hAnsiTheme="minorHAnsi" w:cstheme="minorHAnsi"/>
        </w:rPr>
        <w:t>-says-medical-specialist/101522054&gt;</w:t>
      </w:r>
    </w:p>
    <w:p w14:paraId="399B943B" w14:textId="21B7685D" w:rsidR="00C571A0" w:rsidRPr="00C571A0" w:rsidRDefault="00C571A0" w:rsidP="00C571A0">
      <w:pPr>
        <w:rPr>
          <w:rFonts w:asciiTheme="minorHAnsi" w:hAnsiTheme="minorHAnsi" w:cstheme="minorHAnsi"/>
        </w:rPr>
      </w:pPr>
      <w:r w:rsidRPr="00C571A0">
        <w:rPr>
          <w:rFonts w:asciiTheme="minorHAnsi" w:hAnsiTheme="minorHAnsi" w:cstheme="minorHAnsi"/>
        </w:rPr>
        <w:t xml:space="preserve">Reardon, S. (2022) ‘Long </w:t>
      </w:r>
      <w:r w:rsidR="00F9793D">
        <w:rPr>
          <w:rFonts w:asciiTheme="minorHAnsi" w:hAnsiTheme="minorHAnsi" w:cstheme="minorHAnsi"/>
        </w:rPr>
        <w:t>COVID</w:t>
      </w:r>
      <w:r w:rsidRPr="00C571A0">
        <w:rPr>
          <w:rFonts w:asciiTheme="minorHAnsi" w:hAnsiTheme="minorHAnsi" w:cstheme="minorHAnsi"/>
        </w:rPr>
        <w:t xml:space="preserve"> risk falls only slightly after vaccination, huge study shows’, </w:t>
      </w:r>
      <w:r w:rsidRPr="00C571A0">
        <w:rPr>
          <w:rFonts w:asciiTheme="minorHAnsi" w:hAnsiTheme="minorHAnsi" w:cstheme="minorHAnsi"/>
          <w:i/>
          <w:iCs/>
        </w:rPr>
        <w:t>nature</w:t>
      </w:r>
      <w:r w:rsidRPr="00C571A0">
        <w:rPr>
          <w:rFonts w:asciiTheme="minorHAnsi" w:hAnsiTheme="minorHAnsi" w:cstheme="minorHAnsi"/>
        </w:rPr>
        <w:t>, accessed 20 October 2022.</w:t>
      </w:r>
      <w:r w:rsidRPr="00C571A0">
        <w:rPr>
          <w:rFonts w:asciiTheme="minorHAnsi" w:hAnsiTheme="minorHAnsi" w:cstheme="minorHAnsi"/>
        </w:rPr>
        <w:br/>
        <w:t>&lt;https://www.nature.com/articles/d41586-022-01453-0&gt;</w:t>
      </w:r>
    </w:p>
    <w:p w14:paraId="20927354" w14:textId="60EF98D0" w:rsidR="00C571A0" w:rsidRPr="00C571A0" w:rsidRDefault="00C571A0" w:rsidP="00C571A0">
      <w:pPr>
        <w:rPr>
          <w:rFonts w:asciiTheme="minorHAnsi" w:hAnsiTheme="minorHAnsi" w:cstheme="minorHAnsi"/>
        </w:rPr>
      </w:pPr>
      <w:r w:rsidRPr="00C571A0">
        <w:rPr>
          <w:rFonts w:asciiTheme="minorHAnsi" w:hAnsiTheme="minorHAnsi" w:cstheme="minorHAnsi"/>
        </w:rPr>
        <w:lastRenderedPageBreak/>
        <w:t xml:space="preserve">Scott, A. (2022) </w:t>
      </w:r>
      <w:r w:rsidRPr="00C571A0">
        <w:rPr>
          <w:rFonts w:asciiTheme="minorHAnsi" w:hAnsiTheme="minorHAnsi" w:cstheme="minorHAnsi"/>
          <w:i/>
          <w:iCs/>
        </w:rPr>
        <w:t xml:space="preserve">Taking the Pulse of the Nation: Long </w:t>
      </w:r>
      <w:r w:rsidR="00F9793D">
        <w:rPr>
          <w:rFonts w:asciiTheme="minorHAnsi" w:hAnsiTheme="minorHAnsi" w:cstheme="minorHAnsi"/>
          <w:i/>
          <w:iCs/>
        </w:rPr>
        <w:t>COVID</w:t>
      </w:r>
      <w:r w:rsidRPr="00C571A0">
        <w:rPr>
          <w:rFonts w:asciiTheme="minorHAnsi" w:hAnsiTheme="minorHAnsi" w:cstheme="minorHAnsi"/>
          <w:i/>
          <w:iCs/>
        </w:rPr>
        <w:t xml:space="preserve"> linked to mental distress, unemployment and is affecting more women than men</w:t>
      </w:r>
      <w:r w:rsidRPr="00C571A0">
        <w:rPr>
          <w:rFonts w:asciiTheme="minorHAnsi" w:hAnsiTheme="minorHAnsi" w:cstheme="minorHAnsi"/>
        </w:rPr>
        <w:t>, Melbourne Institute: Applied Economic &amp; Social Research, 27 October 2022.</w:t>
      </w:r>
    </w:p>
    <w:p w14:paraId="2D5F1377" w14:textId="25A7E772" w:rsidR="00C571A0" w:rsidRPr="00C571A0" w:rsidRDefault="00C571A0" w:rsidP="00C571A0">
      <w:pPr>
        <w:rPr>
          <w:rFonts w:asciiTheme="minorHAnsi" w:hAnsiTheme="minorHAnsi" w:cstheme="minorHAnsi"/>
        </w:rPr>
      </w:pPr>
      <w:r w:rsidRPr="00C571A0">
        <w:rPr>
          <w:rFonts w:asciiTheme="minorHAnsi" w:hAnsiTheme="minorHAnsi" w:cstheme="minorHAnsi"/>
        </w:rPr>
        <w:t xml:space="preserve">Scott, S. &amp; Dalzell, S. (2022) ‘Long </w:t>
      </w:r>
      <w:r w:rsidR="00F9793D">
        <w:rPr>
          <w:rFonts w:asciiTheme="minorHAnsi" w:hAnsiTheme="minorHAnsi" w:cstheme="minorHAnsi"/>
        </w:rPr>
        <w:t>COVID</w:t>
      </w:r>
      <w:r w:rsidRPr="00C571A0">
        <w:rPr>
          <w:rFonts w:asciiTheme="minorHAnsi" w:hAnsiTheme="minorHAnsi" w:cstheme="minorHAnsi"/>
        </w:rPr>
        <w:t xml:space="preserve"> funding non-existent in federal budget, despite US and UK spending millions in research’, </w:t>
      </w:r>
      <w:r w:rsidRPr="00C571A0">
        <w:rPr>
          <w:rFonts w:asciiTheme="minorHAnsi" w:hAnsiTheme="minorHAnsi" w:cstheme="minorHAnsi"/>
          <w:i/>
          <w:iCs/>
        </w:rPr>
        <w:t xml:space="preserve">ABC News, </w:t>
      </w:r>
      <w:r w:rsidRPr="00C571A0">
        <w:rPr>
          <w:rFonts w:asciiTheme="minorHAnsi" w:hAnsiTheme="minorHAnsi" w:cstheme="minorHAnsi"/>
        </w:rPr>
        <w:t>27 October 2022, Accessed 25 November 2022.</w:t>
      </w:r>
      <w:r w:rsidRPr="00C571A0">
        <w:rPr>
          <w:rFonts w:asciiTheme="minorHAnsi" w:hAnsiTheme="minorHAnsi" w:cstheme="minorHAnsi"/>
        </w:rPr>
        <w:br/>
        <w:t>&lt;https://www.abc.net.au/news/2022-10-27/long-</w:t>
      </w:r>
      <w:r w:rsidR="00F9793D">
        <w:rPr>
          <w:rFonts w:asciiTheme="minorHAnsi" w:hAnsiTheme="minorHAnsi" w:cstheme="minorHAnsi"/>
        </w:rPr>
        <w:t>COVID</w:t>
      </w:r>
      <w:r w:rsidRPr="00C571A0">
        <w:rPr>
          <w:rFonts w:asciiTheme="minorHAnsi" w:hAnsiTheme="minorHAnsi" w:cstheme="minorHAnsi"/>
        </w:rPr>
        <w:t>-funding-not-seen-in-federal-budget/101579750&gt;</w:t>
      </w:r>
    </w:p>
    <w:p w14:paraId="337A8DAE" w14:textId="40242298" w:rsidR="00C571A0" w:rsidRPr="00C571A0" w:rsidRDefault="00C571A0" w:rsidP="00C571A0">
      <w:pPr>
        <w:rPr>
          <w:rFonts w:asciiTheme="minorHAnsi" w:hAnsiTheme="minorHAnsi" w:cstheme="minorHAnsi"/>
        </w:rPr>
      </w:pPr>
      <w:proofErr w:type="spellStart"/>
      <w:r w:rsidRPr="00C571A0">
        <w:rPr>
          <w:rFonts w:asciiTheme="minorHAnsi" w:hAnsiTheme="minorHAnsi" w:cstheme="minorHAnsi"/>
        </w:rPr>
        <w:t>Subbaraman</w:t>
      </w:r>
      <w:proofErr w:type="spellEnd"/>
      <w:r w:rsidRPr="00C571A0">
        <w:rPr>
          <w:rFonts w:asciiTheme="minorHAnsi" w:hAnsiTheme="minorHAnsi" w:cstheme="minorHAnsi"/>
        </w:rPr>
        <w:t xml:space="preserve">, N. (2021) ‘US health agency will invest $1 billion to investigate “long </w:t>
      </w:r>
      <w:r w:rsidR="00F9793D">
        <w:rPr>
          <w:rFonts w:asciiTheme="minorHAnsi" w:hAnsiTheme="minorHAnsi" w:cstheme="minorHAnsi"/>
        </w:rPr>
        <w:t>COVID</w:t>
      </w:r>
      <w:r w:rsidRPr="00C571A0">
        <w:rPr>
          <w:rFonts w:asciiTheme="minorHAnsi" w:hAnsiTheme="minorHAnsi" w:cstheme="minorHAnsi"/>
        </w:rPr>
        <w:t xml:space="preserve">”’, </w:t>
      </w:r>
      <w:r w:rsidRPr="00C571A0">
        <w:rPr>
          <w:rFonts w:asciiTheme="minorHAnsi" w:hAnsiTheme="minorHAnsi" w:cstheme="minorHAnsi"/>
          <w:i/>
          <w:iCs/>
        </w:rPr>
        <w:t>Nature</w:t>
      </w:r>
      <w:r w:rsidRPr="00C571A0">
        <w:rPr>
          <w:rFonts w:asciiTheme="minorHAnsi" w:hAnsiTheme="minorHAnsi" w:cstheme="minorHAnsi"/>
        </w:rPr>
        <w:t>, 591: 356. &lt;https://doi.org/10.1038/d41586-021-00586-y&gt;</w:t>
      </w:r>
    </w:p>
    <w:p w14:paraId="7F9A10B1" w14:textId="704E0591" w:rsidR="00C571A0" w:rsidRPr="00C571A0" w:rsidRDefault="00C571A0" w:rsidP="00C571A0">
      <w:pPr>
        <w:rPr>
          <w:rFonts w:asciiTheme="minorHAnsi" w:hAnsiTheme="minorHAnsi" w:cstheme="minorHAnsi"/>
        </w:rPr>
      </w:pPr>
      <w:r w:rsidRPr="00C571A0">
        <w:rPr>
          <w:rFonts w:asciiTheme="minorHAnsi" w:hAnsiTheme="minorHAnsi" w:cstheme="minorHAnsi"/>
        </w:rPr>
        <w:t>Thompson, G. (2022) ‘</w:t>
      </w:r>
      <w:r w:rsidR="00F9793D">
        <w:rPr>
          <w:rFonts w:asciiTheme="minorHAnsi" w:hAnsiTheme="minorHAnsi" w:cstheme="minorHAnsi"/>
        </w:rPr>
        <w:t>COVID</w:t>
      </w:r>
      <w:r w:rsidRPr="00C571A0">
        <w:rPr>
          <w:rFonts w:asciiTheme="minorHAnsi" w:hAnsiTheme="minorHAnsi" w:cstheme="minorHAnsi"/>
        </w:rPr>
        <w:t xml:space="preserve"> cognitive decline more widespread than thought, say researchers at Australia's first long-</w:t>
      </w:r>
      <w:r w:rsidR="00F9793D">
        <w:rPr>
          <w:rFonts w:asciiTheme="minorHAnsi" w:hAnsiTheme="minorHAnsi" w:cstheme="minorHAnsi"/>
        </w:rPr>
        <w:t>COVID</w:t>
      </w:r>
      <w:r w:rsidRPr="00C571A0">
        <w:rPr>
          <w:rFonts w:asciiTheme="minorHAnsi" w:hAnsiTheme="minorHAnsi" w:cstheme="minorHAnsi"/>
        </w:rPr>
        <w:t xml:space="preserve"> clinic’, </w:t>
      </w:r>
      <w:r w:rsidRPr="00C571A0">
        <w:rPr>
          <w:rFonts w:asciiTheme="minorHAnsi" w:hAnsiTheme="minorHAnsi" w:cstheme="minorHAnsi"/>
          <w:i/>
          <w:iCs/>
        </w:rPr>
        <w:t>ABC News</w:t>
      </w:r>
      <w:r w:rsidRPr="00C571A0">
        <w:rPr>
          <w:rFonts w:asciiTheme="minorHAnsi" w:hAnsiTheme="minorHAnsi" w:cstheme="minorHAnsi"/>
        </w:rPr>
        <w:t>, 25 June 2022, accessed 20 October 2022.</w:t>
      </w:r>
      <w:r w:rsidRPr="00C571A0">
        <w:rPr>
          <w:rFonts w:asciiTheme="minorHAnsi" w:hAnsiTheme="minorHAnsi" w:cstheme="minorHAnsi"/>
        </w:rPr>
        <w:br/>
        <w:t>&lt;</w:t>
      </w:r>
      <w:hyperlink r:id="rId18" w:history="1">
        <w:r w:rsidRPr="00C571A0">
          <w:rPr>
            <w:rStyle w:val="Hyperlink"/>
            <w:rFonts w:asciiTheme="minorHAnsi" w:hAnsiTheme="minorHAnsi" w:cstheme="minorHAnsi"/>
          </w:rPr>
          <w:t>https://www.abc.net.au/news/2022-06-25/long-</w:t>
        </w:r>
        <w:r w:rsidR="00F9793D">
          <w:rPr>
            <w:rStyle w:val="Hyperlink"/>
            <w:rFonts w:asciiTheme="minorHAnsi" w:hAnsiTheme="minorHAnsi" w:cstheme="minorHAnsi"/>
          </w:rPr>
          <w:t>COVID</w:t>
        </w:r>
        <w:r w:rsidRPr="00C571A0">
          <w:rPr>
            <w:rStyle w:val="Hyperlink"/>
            <w:rFonts w:asciiTheme="minorHAnsi" w:hAnsiTheme="minorHAnsi" w:cstheme="minorHAnsi"/>
          </w:rPr>
          <w:t>-clinic-st-vincents-cognitive-decline/101178450</w:t>
        </w:r>
      </w:hyperlink>
      <w:r w:rsidRPr="00C571A0">
        <w:rPr>
          <w:rFonts w:asciiTheme="minorHAnsi" w:hAnsiTheme="minorHAnsi" w:cstheme="minorHAnsi"/>
        </w:rPr>
        <w:t xml:space="preserve">&gt; </w:t>
      </w:r>
    </w:p>
    <w:p w14:paraId="547F5740" w14:textId="77777777" w:rsidR="00C571A0" w:rsidRPr="00C571A0" w:rsidRDefault="00C571A0" w:rsidP="00C571A0">
      <w:pPr>
        <w:rPr>
          <w:rFonts w:asciiTheme="minorHAnsi" w:hAnsiTheme="minorHAnsi" w:cstheme="minorHAnsi"/>
        </w:rPr>
      </w:pPr>
      <w:r w:rsidRPr="00C571A0">
        <w:rPr>
          <w:rFonts w:asciiTheme="minorHAnsi" w:hAnsiTheme="minorHAnsi" w:cstheme="minorHAnsi"/>
        </w:rPr>
        <w:t xml:space="preserve">United Nations General Assembly (2006) </w:t>
      </w:r>
      <w:r w:rsidRPr="00C571A0">
        <w:rPr>
          <w:rFonts w:asciiTheme="minorHAnsi" w:hAnsiTheme="minorHAnsi" w:cstheme="minorHAnsi"/>
          <w:i/>
          <w:iCs/>
        </w:rPr>
        <w:t>Convention on the Rights of Persons with Disabilities</w:t>
      </w:r>
      <w:r w:rsidRPr="00C571A0">
        <w:rPr>
          <w:rFonts w:asciiTheme="minorHAnsi" w:hAnsiTheme="minorHAnsi" w:cstheme="minorHAnsi"/>
        </w:rPr>
        <w:t>, Treaty Series, vol. 2515, Dec. 2006.</w:t>
      </w:r>
    </w:p>
    <w:p w14:paraId="34432351" w14:textId="3E952C2D" w:rsidR="00C571A0" w:rsidRPr="00C571A0" w:rsidRDefault="00C571A0" w:rsidP="00C571A0">
      <w:pPr>
        <w:rPr>
          <w:rFonts w:asciiTheme="minorHAnsi" w:hAnsiTheme="minorHAnsi" w:cstheme="minorHAnsi"/>
        </w:rPr>
      </w:pPr>
      <w:r w:rsidRPr="00C571A0">
        <w:rPr>
          <w:rFonts w:asciiTheme="minorHAnsi" w:hAnsiTheme="minorHAnsi" w:cstheme="minorHAnsi"/>
        </w:rPr>
        <w:t xml:space="preserve">World Health Organisation (WHO) (2021) </w:t>
      </w:r>
      <w:r w:rsidRPr="00C571A0">
        <w:rPr>
          <w:rFonts w:asciiTheme="minorHAnsi" w:hAnsiTheme="minorHAnsi" w:cstheme="minorHAnsi"/>
          <w:i/>
          <w:iCs/>
        </w:rPr>
        <w:t xml:space="preserve">A clinical case definition of post </w:t>
      </w:r>
      <w:r w:rsidR="00F9793D">
        <w:rPr>
          <w:rFonts w:asciiTheme="minorHAnsi" w:hAnsiTheme="minorHAnsi" w:cstheme="minorHAnsi"/>
          <w:i/>
          <w:iCs/>
        </w:rPr>
        <w:t>COVID</w:t>
      </w:r>
      <w:r w:rsidRPr="00C571A0">
        <w:rPr>
          <w:rFonts w:asciiTheme="minorHAnsi" w:hAnsiTheme="minorHAnsi" w:cstheme="minorHAnsi"/>
          <w:i/>
          <w:iCs/>
        </w:rPr>
        <w:t>-19 condition by a Delphi consensus</w:t>
      </w:r>
      <w:r w:rsidRPr="00C571A0">
        <w:rPr>
          <w:rFonts w:asciiTheme="minorHAnsi" w:hAnsiTheme="minorHAnsi" w:cstheme="minorHAnsi"/>
        </w:rPr>
        <w:t>, WHO Reference Number: WHO/2019-nCoV/Post_</w:t>
      </w:r>
      <w:r w:rsidR="00F9793D">
        <w:rPr>
          <w:rFonts w:asciiTheme="minorHAnsi" w:hAnsiTheme="minorHAnsi" w:cstheme="minorHAnsi"/>
        </w:rPr>
        <w:t>COVID</w:t>
      </w:r>
      <w:r w:rsidRPr="00C571A0">
        <w:rPr>
          <w:rFonts w:asciiTheme="minorHAnsi" w:hAnsiTheme="minorHAnsi" w:cstheme="minorHAnsi"/>
        </w:rPr>
        <w:t>-19_condition/Clinical_case_definition/2021.1.</w:t>
      </w:r>
    </w:p>
    <w:p w14:paraId="54D95AFB" w14:textId="77777777" w:rsidR="00026B87" w:rsidRPr="00A91A00" w:rsidRDefault="00026B87" w:rsidP="00C571A0">
      <w:pPr>
        <w:rPr>
          <w:rFonts w:asciiTheme="minorHAnsi" w:hAnsiTheme="minorHAnsi" w:cstheme="minorHAnsi"/>
          <w:lang w:val="en-AU" w:eastAsia="zh-CN"/>
        </w:rPr>
      </w:pPr>
    </w:p>
    <w:sectPr w:rsidR="00026B87" w:rsidRPr="00A91A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6548" w14:textId="77777777" w:rsidR="005B71D8" w:rsidRDefault="005B71D8" w:rsidP="0043611F">
      <w:pPr>
        <w:spacing w:after="0" w:line="240" w:lineRule="auto"/>
      </w:pPr>
      <w:r>
        <w:separator/>
      </w:r>
    </w:p>
  </w:endnote>
  <w:endnote w:type="continuationSeparator" w:id="0">
    <w:p w14:paraId="0A8597C0" w14:textId="77777777" w:rsidR="005B71D8" w:rsidRDefault="005B71D8" w:rsidP="0043611F">
      <w:pPr>
        <w:spacing w:after="0" w:line="240" w:lineRule="auto"/>
      </w:pPr>
      <w:r>
        <w:continuationSeparator/>
      </w:r>
    </w:p>
  </w:endnote>
  <w:endnote w:type="continuationNotice" w:id="1">
    <w:p w14:paraId="2CF3ECD2" w14:textId="77777777" w:rsidR="009972F8" w:rsidRDefault="009972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835C" w14:textId="3D40BCDA" w:rsidR="001831B7" w:rsidRDefault="00B2699D">
    <w:pPr>
      <w:pStyle w:val="Footer"/>
    </w:pPr>
    <w:r>
      <w:rPr>
        <w:noProof/>
        <w:lang w:val="en-AU" w:eastAsia="en-AU"/>
      </w:rPr>
      <mc:AlternateContent>
        <mc:Choice Requires="wps">
          <w:drawing>
            <wp:anchor distT="0" distB="0" distL="114300" distR="114300" simplePos="0" relativeHeight="251658242" behindDoc="0" locked="0" layoutInCell="1" allowOverlap="1" wp14:anchorId="6A5977A5" wp14:editId="7FBE8AF7">
              <wp:simplePos x="0" y="0"/>
              <wp:positionH relativeFrom="page">
                <wp:align>left</wp:align>
              </wp:positionH>
              <wp:positionV relativeFrom="paragraph">
                <wp:posOffset>86784</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0E7FB8AC" w14:textId="77777777" w:rsidR="001F2279" w:rsidRPr="008D462E" w:rsidRDefault="0043611F" w:rsidP="0043611F">
                          <w:pPr>
                            <w:tabs>
                              <w:tab w:val="left" w:pos="11340"/>
                            </w:tabs>
                            <w:ind w:right="1110"/>
                            <w:jc w:val="center"/>
                            <w:rPr>
                              <w:rFonts w:asciiTheme="minorHAnsi" w:hAnsiTheme="minorHAnsi" w:cstheme="minorHAnsi"/>
                              <w:sz w:val="20"/>
                              <w:szCs w:val="20"/>
                            </w:rPr>
                          </w:pPr>
                          <w:r w:rsidRPr="008D462E">
                            <w:rPr>
                              <w:rFonts w:asciiTheme="minorHAnsi" w:hAnsiTheme="minorHAnsi" w:cstheme="minorHAnsi"/>
                              <w:sz w:val="20"/>
                              <w:szCs w:val="20"/>
                            </w:rPr>
                            <w:t xml:space="preserve">Page </w:t>
                          </w:r>
                          <w:r w:rsidRPr="008D462E">
                            <w:rPr>
                              <w:rFonts w:asciiTheme="minorHAnsi" w:hAnsiTheme="minorHAnsi" w:cstheme="minorHAnsi"/>
                              <w:sz w:val="20"/>
                              <w:szCs w:val="20"/>
                            </w:rPr>
                            <w:fldChar w:fldCharType="begin"/>
                          </w:r>
                          <w:r w:rsidRPr="008D462E">
                            <w:rPr>
                              <w:rFonts w:asciiTheme="minorHAnsi" w:hAnsiTheme="minorHAnsi" w:cstheme="minorHAnsi"/>
                              <w:sz w:val="20"/>
                              <w:szCs w:val="20"/>
                            </w:rPr>
                            <w:instrText xml:space="preserve"> PAGE   \* MERGEFORMAT </w:instrText>
                          </w:r>
                          <w:r w:rsidRPr="008D462E">
                            <w:rPr>
                              <w:rFonts w:asciiTheme="minorHAnsi" w:hAnsiTheme="minorHAnsi" w:cstheme="minorHAnsi"/>
                              <w:sz w:val="20"/>
                              <w:szCs w:val="20"/>
                            </w:rPr>
                            <w:fldChar w:fldCharType="separate"/>
                          </w:r>
                          <w:r>
                            <w:rPr>
                              <w:rFonts w:asciiTheme="minorHAnsi" w:hAnsiTheme="minorHAnsi" w:cstheme="minorHAnsi"/>
                              <w:sz w:val="20"/>
                              <w:szCs w:val="20"/>
                            </w:rPr>
                            <w:t>2</w:t>
                          </w:r>
                          <w:r w:rsidRPr="008D462E">
                            <w:rPr>
                              <w:rFonts w:asciiTheme="minorHAnsi" w:hAnsiTheme="minorHAnsi" w:cstheme="minorHAnsi"/>
                              <w:noProof/>
                              <w:sz w:val="20"/>
                              <w:szCs w:val="20"/>
                            </w:rPr>
                            <w:fldChar w:fldCharType="end"/>
                          </w:r>
                          <w:r w:rsidRPr="008D462E">
                            <w:rPr>
                              <w:rFonts w:asciiTheme="minorHAnsi" w:hAnsiTheme="minorHAnsi" w:cstheme="minorHAnsi"/>
                              <w:noProof/>
                              <w:sz w:val="20"/>
                              <w:szCs w:val="20"/>
                            </w:rPr>
                            <w:t xml:space="preserve"> of </w:t>
                          </w:r>
                          <w:r w:rsidRPr="008D462E">
                            <w:rPr>
                              <w:rFonts w:asciiTheme="minorHAnsi" w:hAnsiTheme="minorHAnsi" w:cstheme="minorHAnsi"/>
                              <w:noProof/>
                              <w:sz w:val="20"/>
                              <w:szCs w:val="20"/>
                            </w:rPr>
                            <w:fldChar w:fldCharType="begin"/>
                          </w:r>
                          <w:r w:rsidRPr="008D462E">
                            <w:rPr>
                              <w:rFonts w:asciiTheme="minorHAnsi" w:hAnsiTheme="minorHAnsi" w:cstheme="minorHAnsi"/>
                              <w:noProof/>
                              <w:sz w:val="20"/>
                              <w:szCs w:val="20"/>
                            </w:rPr>
                            <w:instrText xml:space="preserve"> NUMPAGES   \* MERGEFORMAT </w:instrText>
                          </w:r>
                          <w:r w:rsidRPr="008D462E">
                            <w:rPr>
                              <w:rFonts w:asciiTheme="minorHAnsi" w:hAnsiTheme="minorHAnsi" w:cstheme="minorHAnsi"/>
                              <w:noProof/>
                              <w:sz w:val="20"/>
                              <w:szCs w:val="20"/>
                            </w:rPr>
                            <w:fldChar w:fldCharType="separate"/>
                          </w:r>
                          <w:r>
                            <w:rPr>
                              <w:rFonts w:asciiTheme="minorHAnsi" w:hAnsiTheme="minorHAnsi" w:cstheme="minorHAnsi"/>
                              <w:noProof/>
                              <w:sz w:val="20"/>
                              <w:szCs w:val="20"/>
                            </w:rPr>
                            <w:t>7</w:t>
                          </w:r>
                          <w:r w:rsidRPr="008D462E">
                            <w:rPr>
                              <w:rFonts w:asciiTheme="minorHAnsi" w:hAnsiTheme="minorHAnsi" w:cstheme="minorHAnsi"/>
                              <w:noProof/>
                              <w:sz w:val="20"/>
                              <w:szCs w:val="20"/>
                            </w:rPr>
                            <w:fldChar w:fldCharType="end"/>
                          </w:r>
                        </w:p>
                        <w:p w14:paraId="54DC4D9D" w14:textId="77777777" w:rsidR="001831B7" w:rsidRPr="00EE0521" w:rsidRDefault="00FB259A" w:rsidP="001831B7">
                          <w:pPr>
                            <w:tabs>
                              <w:tab w:val="left" w:pos="11766"/>
                            </w:tabs>
                            <w:ind w:right="681"/>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977A5" id="Rectangle 12" o:spid="_x0000_s1026" alt="Decorative element" style="position:absolute;margin-left:0;margin-top:6.85pt;width:637.25pt;height:21.45pt;z-index:25165824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" fillcolor="#41190b" stroked="f">
              <v:textbox>
                <w:txbxContent>
                  <w:p w14:paraId="0E7FB8AC" w14:textId="77777777" w:rsidR="001F2279" w:rsidRPr="008D462E" w:rsidRDefault="0043611F" w:rsidP="0043611F">
                    <w:pPr>
                      <w:tabs>
                        <w:tab w:val="left" w:pos="11340"/>
                      </w:tabs>
                      <w:ind w:right="1110"/>
                      <w:jc w:val="center"/>
                      <w:rPr>
                        <w:rFonts w:asciiTheme="minorHAnsi" w:hAnsiTheme="minorHAnsi" w:cstheme="minorHAnsi"/>
                        <w:sz w:val="20"/>
                        <w:szCs w:val="20"/>
                      </w:rPr>
                    </w:pPr>
                    <w:r w:rsidRPr="008D462E">
                      <w:rPr>
                        <w:rFonts w:asciiTheme="minorHAnsi" w:hAnsiTheme="minorHAnsi" w:cstheme="minorHAnsi"/>
                        <w:sz w:val="20"/>
                        <w:szCs w:val="20"/>
                      </w:rPr>
                      <w:t xml:space="preserve">Page </w:t>
                    </w:r>
                    <w:r w:rsidRPr="008D462E">
                      <w:rPr>
                        <w:rFonts w:asciiTheme="minorHAnsi" w:hAnsiTheme="minorHAnsi" w:cstheme="minorHAnsi"/>
                        <w:sz w:val="20"/>
                        <w:szCs w:val="20"/>
                      </w:rPr>
                      <w:fldChar w:fldCharType="begin"/>
                    </w:r>
                    <w:r w:rsidRPr="008D462E">
                      <w:rPr>
                        <w:rFonts w:asciiTheme="minorHAnsi" w:hAnsiTheme="minorHAnsi" w:cstheme="minorHAnsi"/>
                        <w:sz w:val="20"/>
                        <w:szCs w:val="20"/>
                      </w:rPr>
                      <w:instrText xml:space="preserve"> PAGE   \* MERGEFORMAT </w:instrText>
                    </w:r>
                    <w:r w:rsidRPr="008D462E">
                      <w:rPr>
                        <w:rFonts w:asciiTheme="minorHAnsi" w:hAnsiTheme="minorHAnsi" w:cstheme="minorHAnsi"/>
                        <w:sz w:val="20"/>
                        <w:szCs w:val="20"/>
                      </w:rPr>
                      <w:fldChar w:fldCharType="separate"/>
                    </w:r>
                    <w:r>
                      <w:rPr>
                        <w:rFonts w:asciiTheme="minorHAnsi" w:hAnsiTheme="minorHAnsi" w:cstheme="minorHAnsi"/>
                        <w:sz w:val="20"/>
                        <w:szCs w:val="20"/>
                      </w:rPr>
                      <w:t>2</w:t>
                    </w:r>
                    <w:r w:rsidRPr="008D462E">
                      <w:rPr>
                        <w:rFonts w:asciiTheme="minorHAnsi" w:hAnsiTheme="minorHAnsi" w:cstheme="minorHAnsi"/>
                        <w:noProof/>
                        <w:sz w:val="20"/>
                        <w:szCs w:val="20"/>
                      </w:rPr>
                      <w:fldChar w:fldCharType="end"/>
                    </w:r>
                    <w:r w:rsidRPr="008D462E">
                      <w:rPr>
                        <w:rFonts w:asciiTheme="minorHAnsi" w:hAnsiTheme="minorHAnsi" w:cstheme="minorHAnsi"/>
                        <w:noProof/>
                        <w:sz w:val="20"/>
                        <w:szCs w:val="20"/>
                      </w:rPr>
                      <w:t xml:space="preserve"> of </w:t>
                    </w:r>
                    <w:r w:rsidRPr="008D462E">
                      <w:rPr>
                        <w:rFonts w:asciiTheme="minorHAnsi" w:hAnsiTheme="minorHAnsi" w:cstheme="minorHAnsi"/>
                        <w:noProof/>
                        <w:sz w:val="20"/>
                        <w:szCs w:val="20"/>
                      </w:rPr>
                      <w:fldChar w:fldCharType="begin"/>
                    </w:r>
                    <w:r w:rsidRPr="008D462E">
                      <w:rPr>
                        <w:rFonts w:asciiTheme="minorHAnsi" w:hAnsiTheme="minorHAnsi" w:cstheme="minorHAnsi"/>
                        <w:noProof/>
                        <w:sz w:val="20"/>
                        <w:szCs w:val="20"/>
                      </w:rPr>
                      <w:instrText xml:space="preserve"> NUMPAGES   \* MERGEFORMAT </w:instrText>
                    </w:r>
                    <w:r w:rsidRPr="008D462E">
                      <w:rPr>
                        <w:rFonts w:asciiTheme="minorHAnsi" w:hAnsiTheme="minorHAnsi" w:cstheme="minorHAnsi"/>
                        <w:noProof/>
                        <w:sz w:val="20"/>
                        <w:szCs w:val="20"/>
                      </w:rPr>
                      <w:fldChar w:fldCharType="separate"/>
                    </w:r>
                    <w:r>
                      <w:rPr>
                        <w:rFonts w:asciiTheme="minorHAnsi" w:hAnsiTheme="minorHAnsi" w:cstheme="minorHAnsi"/>
                        <w:noProof/>
                        <w:sz w:val="20"/>
                        <w:szCs w:val="20"/>
                      </w:rPr>
                      <w:t>7</w:t>
                    </w:r>
                    <w:r w:rsidRPr="008D462E">
                      <w:rPr>
                        <w:rFonts w:asciiTheme="minorHAnsi" w:hAnsiTheme="minorHAnsi" w:cstheme="minorHAnsi"/>
                        <w:noProof/>
                        <w:sz w:val="20"/>
                        <w:szCs w:val="20"/>
                      </w:rPr>
                      <w:fldChar w:fldCharType="end"/>
                    </w:r>
                  </w:p>
                  <w:p w14:paraId="54DC4D9D" w14:textId="77777777" w:rsidR="001831B7" w:rsidRPr="00EE0521" w:rsidRDefault="00FB259A" w:rsidP="001831B7">
                    <w:pPr>
                      <w:tabs>
                        <w:tab w:val="left" w:pos="11766"/>
                      </w:tabs>
                      <w:ind w:right="681"/>
                      <w:jc w:val="center"/>
                      <w:rPr>
                        <w:sz w:val="20"/>
                        <w:szCs w:val="20"/>
                      </w:rPr>
                    </w:pPr>
                  </w:p>
                </w:txbxContent>
              </v:textbox>
              <w10:wrap anchorx="page"/>
            </v:rect>
          </w:pict>
        </mc:Fallback>
      </mc:AlternateContent>
    </w:r>
    <w:r>
      <w:rPr>
        <w:noProof/>
        <w:lang w:val="en-AU" w:eastAsia="en-AU"/>
      </w:rPr>
      <mc:AlternateContent>
        <mc:Choice Requires="wps">
          <w:drawing>
            <wp:anchor distT="0" distB="0" distL="114300" distR="114300" simplePos="0" relativeHeight="251658243" behindDoc="0" locked="0" layoutInCell="1" allowOverlap="1" wp14:anchorId="63774C69" wp14:editId="42DA6824">
              <wp:simplePos x="0" y="0"/>
              <wp:positionH relativeFrom="page">
                <wp:posOffset>-32808</wp:posOffset>
              </wp:positionH>
              <wp:positionV relativeFrom="paragraph">
                <wp:posOffset>330200</wp:posOffset>
              </wp:positionV>
              <wp:extent cx="8228118" cy="1000337"/>
              <wp:effectExtent l="0" t="0" r="1905" b="9525"/>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8118" cy="1000337"/>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B0F50" w14:textId="18353AE0" w:rsidR="000F2A12" w:rsidRPr="000F2A12" w:rsidRDefault="000F2A12" w:rsidP="000F2A12">
                          <w:pPr>
                            <w:jc w:val="center"/>
                            <w:rPr>
                              <w:rFonts w:asciiTheme="majorHAnsi" w:eastAsia="Times New Roman" w:hAnsiTheme="majorHAnsi" w:cstheme="majorHAnsi"/>
                              <w:b/>
                              <w:bCs/>
                              <w:color w:val="FFFFFF" w:themeColor="background1"/>
                              <w:kern w:val="28"/>
                              <w:sz w:val="22"/>
                              <w:szCs w:val="22"/>
                              <w:lang w:val="en-AU"/>
                            </w:rPr>
                          </w:pPr>
                          <w:r w:rsidRPr="000F2A12">
                            <w:rPr>
                              <w:rFonts w:asciiTheme="majorHAnsi" w:eastAsia="Times New Roman" w:hAnsiTheme="majorHAnsi" w:cstheme="majorHAnsi"/>
                              <w:b/>
                              <w:bCs/>
                              <w:color w:val="FFFFFF" w:themeColor="background1"/>
                              <w:kern w:val="28"/>
                              <w:sz w:val="22"/>
                              <w:szCs w:val="22"/>
                              <w:lang w:val="en-AU"/>
                            </w:rPr>
                            <w:t xml:space="preserve">Inquiry into Long </w:t>
                          </w:r>
                          <w:r w:rsidR="00F9793D">
                            <w:rPr>
                              <w:rFonts w:asciiTheme="majorHAnsi" w:eastAsia="Times New Roman" w:hAnsiTheme="majorHAnsi" w:cstheme="majorHAnsi"/>
                              <w:b/>
                              <w:bCs/>
                              <w:color w:val="FFFFFF" w:themeColor="background1"/>
                              <w:kern w:val="28"/>
                              <w:sz w:val="22"/>
                              <w:szCs w:val="22"/>
                              <w:lang w:val="en-AU"/>
                            </w:rPr>
                            <w:t>COVID</w:t>
                          </w:r>
                          <w:r w:rsidRPr="000F2A12">
                            <w:rPr>
                              <w:rFonts w:asciiTheme="majorHAnsi" w:eastAsia="Times New Roman" w:hAnsiTheme="majorHAnsi" w:cstheme="majorHAnsi"/>
                              <w:b/>
                              <w:bCs/>
                              <w:color w:val="FFFFFF" w:themeColor="background1"/>
                              <w:kern w:val="28"/>
                              <w:sz w:val="22"/>
                              <w:szCs w:val="22"/>
                              <w:lang w:val="en-AU"/>
                            </w:rPr>
                            <w:t xml:space="preserve"> and Repeated </w:t>
                          </w:r>
                          <w:r w:rsidR="00F9793D">
                            <w:rPr>
                              <w:rFonts w:asciiTheme="majorHAnsi" w:eastAsia="Times New Roman" w:hAnsiTheme="majorHAnsi" w:cstheme="majorHAnsi"/>
                              <w:b/>
                              <w:bCs/>
                              <w:color w:val="FFFFFF" w:themeColor="background1"/>
                              <w:kern w:val="28"/>
                              <w:sz w:val="22"/>
                              <w:szCs w:val="22"/>
                              <w:lang w:val="en-AU"/>
                            </w:rPr>
                            <w:t>COVID</w:t>
                          </w:r>
                          <w:r w:rsidRPr="000F2A12">
                            <w:rPr>
                              <w:rFonts w:asciiTheme="majorHAnsi" w:eastAsia="Times New Roman" w:hAnsiTheme="majorHAnsi" w:cstheme="majorHAnsi"/>
                              <w:b/>
                              <w:bCs/>
                              <w:color w:val="FFFFFF" w:themeColor="background1"/>
                              <w:kern w:val="28"/>
                              <w:sz w:val="22"/>
                              <w:szCs w:val="22"/>
                              <w:lang w:val="en-AU"/>
                            </w:rPr>
                            <w:t xml:space="preserve"> Infections</w:t>
                          </w:r>
                        </w:p>
                        <w:p w14:paraId="567C6722" w14:textId="77777777" w:rsidR="00C62931" w:rsidRPr="000F2A12" w:rsidRDefault="00FB259A" w:rsidP="000F2A12">
                          <w:pPr>
                            <w:jc w:val="center"/>
                            <w:rPr>
                              <w:color w:val="FFFFFF" w:themeColor="background1"/>
                              <w:sz w:val="22"/>
                              <w:szCs w:val="22"/>
                              <w:lang w:val="en-AU"/>
                            </w:rPr>
                          </w:pPr>
                        </w:p>
                        <w:p w14:paraId="7D8D553F" w14:textId="77777777" w:rsidR="00FF6DD6" w:rsidRPr="000F2A12" w:rsidRDefault="0043611F" w:rsidP="000F2A12">
                          <w:pPr>
                            <w:jc w:val="center"/>
                            <w:rPr>
                              <w:rStyle w:val="Heading2Char"/>
                              <w:color w:val="FFFFFF" w:themeColor="background1"/>
                              <w:sz w:val="22"/>
                              <w:szCs w:val="22"/>
                            </w:rPr>
                          </w:pPr>
                          <w:r w:rsidRPr="000F2A12">
                            <w:rPr>
                              <w:color w:val="FFFFFF" w:themeColor="background1"/>
                              <w:sz w:val="22"/>
                              <w:szCs w:val="22"/>
                              <w:lang w:val="en-AU"/>
                            </w:rPr>
                            <w:br/>
                          </w:r>
                          <w:r w:rsidRPr="000F2A12">
                            <w:rPr>
                              <w:color w:val="FFFFFF" w:themeColor="background1"/>
                              <w:sz w:val="22"/>
                              <w:szCs w:val="22"/>
                              <w:lang w:val="en-AU"/>
                            </w:rPr>
                            <w:br/>
                          </w:r>
                        </w:p>
                        <w:p w14:paraId="320C402F" w14:textId="77777777" w:rsidR="001831B7" w:rsidRPr="000F2A12" w:rsidRDefault="00FB259A" w:rsidP="000F2A12">
                          <w:pPr>
                            <w:spacing w:after="0" w:line="240" w:lineRule="auto"/>
                            <w:ind w:left="709" w:right="1390"/>
                            <w:jc w:val="center"/>
                            <w:rPr>
                              <w:color w:val="FFFFFF" w:themeColor="background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74C69" id="Rectangle 11" o:spid="_x0000_s1027" alt="Decorative element" style="position:absolute;margin-left:-2.6pt;margin-top:26pt;width:647.9pt;height:78.7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" fillcolor="#009690" stroked="f">
              <v:textbox>
                <w:txbxContent>
                  <w:p w14:paraId="021B0F50" w14:textId="18353AE0" w:rsidR="000F2A12" w:rsidRPr="000F2A12" w:rsidRDefault="000F2A12" w:rsidP="000F2A12">
                    <w:pPr>
                      <w:jc w:val="center"/>
                      <w:rPr>
                        <w:rFonts w:asciiTheme="majorHAnsi" w:eastAsia="Times New Roman" w:hAnsiTheme="majorHAnsi" w:cstheme="majorHAnsi"/>
                        <w:b/>
                        <w:bCs/>
                        <w:color w:val="FFFFFF" w:themeColor="background1"/>
                        <w:kern w:val="28"/>
                        <w:sz w:val="22"/>
                        <w:szCs w:val="22"/>
                        <w:lang w:val="en-AU"/>
                      </w:rPr>
                    </w:pPr>
                    <w:r w:rsidRPr="000F2A12">
                      <w:rPr>
                        <w:rFonts w:asciiTheme="majorHAnsi" w:eastAsia="Times New Roman" w:hAnsiTheme="majorHAnsi" w:cstheme="majorHAnsi"/>
                        <w:b/>
                        <w:bCs/>
                        <w:color w:val="FFFFFF" w:themeColor="background1"/>
                        <w:kern w:val="28"/>
                        <w:sz w:val="22"/>
                        <w:szCs w:val="22"/>
                        <w:lang w:val="en-AU"/>
                      </w:rPr>
                      <w:t xml:space="preserve">Inquiry into Long </w:t>
                    </w:r>
                    <w:r w:rsidR="00F9793D">
                      <w:rPr>
                        <w:rFonts w:asciiTheme="majorHAnsi" w:eastAsia="Times New Roman" w:hAnsiTheme="majorHAnsi" w:cstheme="majorHAnsi"/>
                        <w:b/>
                        <w:bCs/>
                        <w:color w:val="FFFFFF" w:themeColor="background1"/>
                        <w:kern w:val="28"/>
                        <w:sz w:val="22"/>
                        <w:szCs w:val="22"/>
                        <w:lang w:val="en-AU"/>
                      </w:rPr>
                      <w:t>COVID</w:t>
                    </w:r>
                    <w:r w:rsidRPr="000F2A12">
                      <w:rPr>
                        <w:rFonts w:asciiTheme="majorHAnsi" w:eastAsia="Times New Roman" w:hAnsiTheme="majorHAnsi" w:cstheme="majorHAnsi"/>
                        <w:b/>
                        <w:bCs/>
                        <w:color w:val="FFFFFF" w:themeColor="background1"/>
                        <w:kern w:val="28"/>
                        <w:sz w:val="22"/>
                        <w:szCs w:val="22"/>
                        <w:lang w:val="en-AU"/>
                      </w:rPr>
                      <w:t xml:space="preserve"> and Repeated </w:t>
                    </w:r>
                    <w:r w:rsidR="00F9793D">
                      <w:rPr>
                        <w:rFonts w:asciiTheme="majorHAnsi" w:eastAsia="Times New Roman" w:hAnsiTheme="majorHAnsi" w:cstheme="majorHAnsi"/>
                        <w:b/>
                        <w:bCs/>
                        <w:color w:val="FFFFFF" w:themeColor="background1"/>
                        <w:kern w:val="28"/>
                        <w:sz w:val="22"/>
                        <w:szCs w:val="22"/>
                        <w:lang w:val="en-AU"/>
                      </w:rPr>
                      <w:t>COVID</w:t>
                    </w:r>
                    <w:r w:rsidRPr="000F2A12">
                      <w:rPr>
                        <w:rFonts w:asciiTheme="majorHAnsi" w:eastAsia="Times New Roman" w:hAnsiTheme="majorHAnsi" w:cstheme="majorHAnsi"/>
                        <w:b/>
                        <w:bCs/>
                        <w:color w:val="FFFFFF" w:themeColor="background1"/>
                        <w:kern w:val="28"/>
                        <w:sz w:val="22"/>
                        <w:szCs w:val="22"/>
                        <w:lang w:val="en-AU"/>
                      </w:rPr>
                      <w:t xml:space="preserve"> Infections</w:t>
                    </w:r>
                  </w:p>
                  <w:p w14:paraId="567C6722" w14:textId="77777777" w:rsidR="00C62931" w:rsidRPr="000F2A12" w:rsidRDefault="00FB259A" w:rsidP="000F2A12">
                    <w:pPr>
                      <w:jc w:val="center"/>
                      <w:rPr>
                        <w:color w:val="FFFFFF" w:themeColor="background1"/>
                        <w:sz w:val="22"/>
                        <w:szCs w:val="22"/>
                        <w:lang w:val="en-AU"/>
                      </w:rPr>
                    </w:pPr>
                  </w:p>
                  <w:p w14:paraId="7D8D553F" w14:textId="77777777" w:rsidR="00FF6DD6" w:rsidRPr="000F2A12" w:rsidRDefault="0043611F" w:rsidP="000F2A12">
                    <w:pPr>
                      <w:jc w:val="center"/>
                      <w:rPr>
                        <w:rStyle w:val="Heading2Char"/>
                        <w:color w:val="FFFFFF" w:themeColor="background1"/>
                        <w:sz w:val="22"/>
                        <w:szCs w:val="22"/>
                      </w:rPr>
                    </w:pPr>
                    <w:r w:rsidRPr="000F2A12">
                      <w:rPr>
                        <w:color w:val="FFFFFF" w:themeColor="background1"/>
                        <w:sz w:val="22"/>
                        <w:szCs w:val="22"/>
                        <w:lang w:val="en-AU"/>
                      </w:rPr>
                      <w:br/>
                    </w:r>
                    <w:r w:rsidRPr="000F2A12">
                      <w:rPr>
                        <w:color w:val="FFFFFF" w:themeColor="background1"/>
                        <w:sz w:val="22"/>
                        <w:szCs w:val="22"/>
                        <w:lang w:val="en-AU"/>
                      </w:rPr>
                      <w:br/>
                    </w:r>
                  </w:p>
                  <w:p w14:paraId="320C402F" w14:textId="77777777" w:rsidR="001831B7" w:rsidRPr="000F2A12" w:rsidRDefault="00FB259A" w:rsidP="000F2A12">
                    <w:pPr>
                      <w:spacing w:after="0" w:line="240" w:lineRule="auto"/>
                      <w:ind w:left="709" w:right="1390"/>
                      <w:jc w:val="center"/>
                      <w:rPr>
                        <w:color w:val="FFFFFF" w:themeColor="background1"/>
                        <w:sz w:val="22"/>
                        <w:szCs w:val="22"/>
                      </w:rPr>
                    </w:pP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6F43" w14:textId="77777777" w:rsidR="00942A9F" w:rsidRPr="009F1A6D" w:rsidRDefault="0043611F">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Pr>
        <w:noProof/>
        <w:sz w:val="28"/>
        <w:szCs w:val="28"/>
      </w:rPr>
      <w:t>5</w:t>
    </w:r>
    <w:r w:rsidRPr="009F1A6D">
      <w:rPr>
        <w:noProof/>
        <w:sz w:val="28"/>
        <w:szCs w:val="28"/>
      </w:rPr>
      <w:fldChar w:fldCharType="end"/>
    </w:r>
  </w:p>
  <w:p w14:paraId="266C52D4" w14:textId="77777777" w:rsidR="00942A9F" w:rsidRDefault="0043611F" w:rsidP="004D6D08">
    <w:pPr>
      <w:pStyle w:val="Footer"/>
      <w:tabs>
        <w:tab w:val="right" w:pos="9639"/>
      </w:tabs>
    </w:pPr>
    <w:r>
      <w:rPr>
        <w:noProof/>
        <w:lang w:val="en-AU" w:eastAsia="en-AU"/>
      </w:rPr>
      <mc:AlternateContent>
        <mc:Choice Requires="wps">
          <w:drawing>
            <wp:anchor distT="0" distB="0" distL="114300" distR="114300" simplePos="0" relativeHeight="251658240" behindDoc="0" locked="0" layoutInCell="1" allowOverlap="1" wp14:anchorId="1508C4BC" wp14:editId="0C7026F5">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A9F07" id="Rectangle 11" o:spid="_x0000_s1026" alt="Decorative element" style="position:absolute;margin-left:-86.6pt;margin-top:32.25pt;width:637.25pt;height:6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" fillcolor="#009690" stroked="f"/>
          </w:pict>
        </mc:Fallback>
      </mc:AlternateContent>
    </w:r>
    <w:r>
      <w:rPr>
        <w:noProof/>
        <w:lang w:val="en-AU" w:eastAsia="en-AU"/>
      </w:rPr>
      <mc:AlternateContent>
        <mc:Choice Requires="wps">
          <w:drawing>
            <wp:anchor distT="0" distB="0" distL="114300" distR="114300" simplePos="0" relativeHeight="251658241" behindDoc="0" locked="0" layoutInCell="1" allowOverlap="1" wp14:anchorId="4593437E" wp14:editId="3D912558">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BDA63" id="Rectangle 12" o:spid="_x0000_s1026" alt="Decorative element" style="position:absolute;margin-left:-86.7pt;margin-top:18.8pt;width:637.25pt;height:1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" fillcolor="#41190b"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FD67" w14:textId="77777777" w:rsidR="005B71D8" w:rsidRDefault="005B71D8" w:rsidP="0043611F">
      <w:pPr>
        <w:spacing w:after="0" w:line="240" w:lineRule="auto"/>
      </w:pPr>
      <w:r>
        <w:separator/>
      </w:r>
    </w:p>
  </w:footnote>
  <w:footnote w:type="continuationSeparator" w:id="0">
    <w:p w14:paraId="0D8BB213" w14:textId="77777777" w:rsidR="005B71D8" w:rsidRDefault="005B71D8" w:rsidP="0043611F">
      <w:pPr>
        <w:spacing w:after="0" w:line="240" w:lineRule="auto"/>
      </w:pPr>
      <w:r>
        <w:continuationSeparator/>
      </w:r>
    </w:p>
  </w:footnote>
  <w:footnote w:type="continuationNotice" w:id="1">
    <w:p w14:paraId="4FF5AC2E" w14:textId="77777777" w:rsidR="009972F8" w:rsidRDefault="009972F8">
      <w:pPr>
        <w:spacing w:after="0" w:line="240" w:lineRule="auto"/>
      </w:pPr>
    </w:p>
  </w:footnote>
  <w:footnote w:id="2">
    <w:p w14:paraId="7C3F9E7A" w14:textId="46BAECEB" w:rsidR="002E2B4F" w:rsidRPr="00F54512" w:rsidRDefault="002E2B4F">
      <w:pPr>
        <w:pStyle w:val="FootnoteText"/>
        <w:rPr>
          <w:rFonts w:asciiTheme="minorHAnsi" w:hAnsiTheme="minorHAnsi" w:cstheme="minorHAnsi"/>
        </w:rPr>
      </w:pPr>
      <w:r w:rsidRPr="00F54512">
        <w:rPr>
          <w:rStyle w:val="FootnoteReference"/>
          <w:rFonts w:asciiTheme="minorHAnsi" w:hAnsiTheme="minorHAnsi" w:cstheme="minorHAnsi"/>
        </w:rPr>
        <w:footnoteRef/>
      </w:r>
      <w:r w:rsidRPr="00F54512">
        <w:rPr>
          <w:rFonts w:asciiTheme="minorHAnsi" w:hAnsiTheme="minorHAnsi" w:cstheme="minorHAnsi"/>
        </w:rPr>
        <w:t xml:space="preserve"> </w:t>
      </w:r>
      <w:r w:rsidR="00E04E07" w:rsidRPr="00F54512">
        <w:rPr>
          <w:rFonts w:asciiTheme="minorHAnsi" w:hAnsiTheme="minorHAnsi" w:cstheme="minorHAnsi"/>
        </w:rPr>
        <w:t>UN General Assembly, 2006.</w:t>
      </w:r>
    </w:p>
  </w:footnote>
  <w:footnote w:id="3">
    <w:p w14:paraId="5F4200CF" w14:textId="48A22037" w:rsidR="001F2A77" w:rsidRPr="00F54512" w:rsidRDefault="001F2A77">
      <w:pPr>
        <w:pStyle w:val="FootnoteText"/>
        <w:rPr>
          <w:rFonts w:asciiTheme="minorHAnsi" w:hAnsiTheme="minorHAnsi" w:cstheme="minorHAnsi"/>
        </w:rPr>
      </w:pPr>
      <w:r w:rsidRPr="00F54512">
        <w:rPr>
          <w:rStyle w:val="FootnoteReference"/>
          <w:rFonts w:asciiTheme="minorHAnsi" w:hAnsiTheme="minorHAnsi" w:cstheme="minorHAnsi"/>
        </w:rPr>
        <w:footnoteRef/>
      </w:r>
      <w:r w:rsidRPr="00F54512">
        <w:rPr>
          <w:rFonts w:asciiTheme="minorHAnsi" w:hAnsiTheme="minorHAnsi" w:cstheme="minorHAnsi"/>
        </w:rPr>
        <w:t xml:space="preserve"> </w:t>
      </w:r>
      <w:r w:rsidR="005705C2" w:rsidRPr="00F54512">
        <w:rPr>
          <w:rFonts w:asciiTheme="minorHAnsi" w:hAnsiTheme="minorHAnsi" w:cstheme="minorHAnsi"/>
        </w:rPr>
        <w:t>UN General Assembly, 2006</w:t>
      </w:r>
      <w:r w:rsidR="00AA3CF5" w:rsidRPr="00F54512">
        <w:rPr>
          <w:rFonts w:asciiTheme="minorHAnsi" w:hAnsiTheme="minorHAnsi" w:cstheme="minorHAnsi"/>
        </w:rPr>
        <w:t>.</w:t>
      </w:r>
    </w:p>
  </w:footnote>
  <w:footnote w:id="4">
    <w:p w14:paraId="6E27F3EF" w14:textId="1EB510C4" w:rsidR="00583511" w:rsidRPr="00F54512" w:rsidRDefault="00583511">
      <w:pPr>
        <w:pStyle w:val="FootnoteText"/>
        <w:rPr>
          <w:rFonts w:asciiTheme="minorHAnsi" w:hAnsiTheme="minorHAnsi" w:cstheme="minorHAnsi"/>
        </w:rPr>
      </w:pPr>
      <w:r w:rsidRPr="00F54512">
        <w:rPr>
          <w:rStyle w:val="FootnoteReference"/>
          <w:rFonts w:asciiTheme="minorHAnsi" w:hAnsiTheme="minorHAnsi" w:cstheme="minorHAnsi"/>
        </w:rPr>
        <w:footnoteRef/>
      </w:r>
      <w:r w:rsidRPr="00F54512">
        <w:rPr>
          <w:rFonts w:asciiTheme="minorHAnsi" w:hAnsiTheme="minorHAnsi" w:cstheme="minorHAnsi"/>
        </w:rPr>
        <w:t xml:space="preserve"> UN General Assembly, 2006.</w:t>
      </w:r>
    </w:p>
  </w:footnote>
  <w:footnote w:id="5">
    <w:p w14:paraId="58B7DDF5" w14:textId="0F94160B" w:rsidR="00993632" w:rsidRPr="00F54512" w:rsidRDefault="00993632">
      <w:pPr>
        <w:pStyle w:val="FootnoteText"/>
        <w:rPr>
          <w:rFonts w:asciiTheme="minorHAnsi" w:hAnsiTheme="minorHAnsi" w:cstheme="minorHAnsi"/>
        </w:rPr>
      </w:pPr>
      <w:r w:rsidRPr="00F54512">
        <w:rPr>
          <w:rStyle w:val="FootnoteReference"/>
          <w:rFonts w:asciiTheme="minorHAnsi" w:hAnsiTheme="minorHAnsi" w:cstheme="minorHAnsi"/>
        </w:rPr>
        <w:footnoteRef/>
      </w:r>
      <w:r w:rsidRPr="00F54512">
        <w:rPr>
          <w:rFonts w:asciiTheme="minorHAnsi" w:hAnsiTheme="minorHAnsi" w:cstheme="minorHAnsi"/>
        </w:rPr>
        <w:t xml:space="preserve"> </w:t>
      </w:r>
      <w:r w:rsidR="00A04698" w:rsidRPr="00F54512">
        <w:rPr>
          <w:rFonts w:asciiTheme="minorHAnsi" w:hAnsiTheme="minorHAnsi" w:cstheme="minorHAnsi"/>
        </w:rPr>
        <w:t xml:space="preserve">ABS 2019; </w:t>
      </w:r>
      <w:r w:rsidR="00F426D6" w:rsidRPr="00F54512">
        <w:rPr>
          <w:rFonts w:asciiTheme="minorHAnsi" w:hAnsiTheme="minorHAnsi" w:cstheme="minorHAnsi"/>
        </w:rPr>
        <w:t>AIHW 2022.</w:t>
      </w:r>
    </w:p>
  </w:footnote>
  <w:footnote w:id="6">
    <w:p w14:paraId="5CAE889C" w14:textId="5376882B" w:rsidR="002961A1" w:rsidRDefault="002961A1">
      <w:pPr>
        <w:pStyle w:val="FootnoteText"/>
      </w:pPr>
      <w:r w:rsidRPr="00F54512">
        <w:rPr>
          <w:rStyle w:val="FootnoteReference"/>
          <w:rFonts w:asciiTheme="minorHAnsi" w:hAnsiTheme="minorHAnsi" w:cstheme="minorHAnsi"/>
        </w:rPr>
        <w:footnoteRef/>
      </w:r>
      <w:r w:rsidRPr="00F54512">
        <w:rPr>
          <w:rFonts w:asciiTheme="minorHAnsi" w:hAnsiTheme="minorHAnsi" w:cstheme="minorHAnsi"/>
        </w:rPr>
        <w:t xml:space="preserve"> </w:t>
      </w:r>
      <w:r w:rsidR="00584A62" w:rsidRPr="00F54512">
        <w:rPr>
          <w:rFonts w:asciiTheme="minorHAnsi" w:hAnsiTheme="minorHAnsi" w:cstheme="minorHAnsi"/>
        </w:rPr>
        <w:t xml:space="preserve">WHO </w:t>
      </w:r>
      <w:proofErr w:type="gramStart"/>
      <w:r w:rsidR="00584A62" w:rsidRPr="00F54512">
        <w:rPr>
          <w:rFonts w:asciiTheme="minorHAnsi" w:hAnsiTheme="minorHAnsi" w:cstheme="minorHAnsi"/>
        </w:rPr>
        <w:t>2021</w:t>
      </w:r>
      <w:r w:rsidR="00F10669" w:rsidRPr="00F54512">
        <w:rPr>
          <w:rFonts w:asciiTheme="minorHAnsi" w:hAnsiTheme="minorHAnsi" w:cstheme="minorHAnsi"/>
        </w:rPr>
        <w:t>.</w:t>
      </w:r>
      <w:proofErr w:type="gramEnd"/>
    </w:p>
  </w:footnote>
  <w:footnote w:id="7">
    <w:p w14:paraId="22095490" w14:textId="0D0EA4DA" w:rsidR="00D53FAE" w:rsidRPr="00F54512" w:rsidRDefault="00D53FAE">
      <w:pPr>
        <w:pStyle w:val="FootnoteText"/>
        <w:rPr>
          <w:rFonts w:asciiTheme="minorHAnsi" w:hAnsiTheme="minorHAnsi" w:cstheme="minorHAnsi"/>
        </w:rPr>
      </w:pPr>
      <w:r w:rsidRPr="00F54512">
        <w:rPr>
          <w:rStyle w:val="FootnoteReference"/>
          <w:rFonts w:asciiTheme="minorHAnsi" w:hAnsiTheme="minorHAnsi" w:cstheme="minorHAnsi"/>
        </w:rPr>
        <w:footnoteRef/>
      </w:r>
      <w:r w:rsidRPr="00F54512">
        <w:rPr>
          <w:rFonts w:asciiTheme="minorHAnsi" w:hAnsiTheme="minorHAnsi" w:cstheme="minorHAnsi"/>
        </w:rPr>
        <w:t xml:space="preserve"> </w:t>
      </w:r>
      <w:r w:rsidR="00771F3D" w:rsidRPr="00F54512">
        <w:rPr>
          <w:rFonts w:asciiTheme="minorHAnsi" w:hAnsiTheme="minorHAnsi" w:cstheme="minorHAnsi"/>
        </w:rPr>
        <w:t xml:space="preserve">Biddle &amp; </w:t>
      </w:r>
      <w:proofErr w:type="spellStart"/>
      <w:r w:rsidR="00771F3D" w:rsidRPr="00F54512">
        <w:rPr>
          <w:rFonts w:asciiTheme="minorHAnsi" w:hAnsiTheme="minorHAnsi" w:cstheme="minorHAnsi"/>
        </w:rPr>
        <w:t>Korda</w:t>
      </w:r>
      <w:proofErr w:type="spellEnd"/>
      <w:r w:rsidR="00771F3D" w:rsidRPr="00F54512">
        <w:rPr>
          <w:rFonts w:asciiTheme="minorHAnsi" w:hAnsiTheme="minorHAnsi" w:cstheme="minorHAnsi"/>
        </w:rPr>
        <w:t xml:space="preserve"> 2022.</w:t>
      </w:r>
    </w:p>
  </w:footnote>
  <w:footnote w:id="8">
    <w:p w14:paraId="59553DAA" w14:textId="5E4C22FD" w:rsidR="0091512E" w:rsidRPr="00F54512" w:rsidRDefault="0091512E">
      <w:pPr>
        <w:pStyle w:val="FootnoteText"/>
        <w:rPr>
          <w:rFonts w:asciiTheme="minorHAnsi" w:hAnsiTheme="minorHAnsi" w:cstheme="minorHAnsi"/>
        </w:rPr>
      </w:pPr>
      <w:r w:rsidRPr="00F54512">
        <w:rPr>
          <w:rStyle w:val="FootnoteReference"/>
          <w:rFonts w:asciiTheme="minorHAnsi" w:hAnsiTheme="minorHAnsi" w:cstheme="minorHAnsi"/>
        </w:rPr>
        <w:footnoteRef/>
      </w:r>
      <w:r w:rsidRPr="00F54512">
        <w:rPr>
          <w:rFonts w:asciiTheme="minorHAnsi" w:hAnsiTheme="minorHAnsi" w:cstheme="minorHAnsi"/>
        </w:rPr>
        <w:t xml:space="preserve"> </w:t>
      </w:r>
      <w:r w:rsidR="0063421E" w:rsidRPr="00F54512">
        <w:rPr>
          <w:rFonts w:asciiTheme="minorHAnsi" w:hAnsiTheme="minorHAnsi" w:cstheme="minorHAnsi"/>
        </w:rPr>
        <w:t>Ibid.</w:t>
      </w:r>
    </w:p>
  </w:footnote>
  <w:footnote w:id="9">
    <w:p w14:paraId="6CB81556" w14:textId="060DD112" w:rsidR="00A86F14" w:rsidRPr="00F54512" w:rsidRDefault="00A86F14">
      <w:pPr>
        <w:pStyle w:val="FootnoteText"/>
        <w:rPr>
          <w:rFonts w:asciiTheme="minorHAnsi" w:hAnsiTheme="minorHAnsi" w:cstheme="minorHAnsi"/>
        </w:rPr>
      </w:pPr>
      <w:r w:rsidRPr="00F54512">
        <w:rPr>
          <w:rStyle w:val="FootnoteReference"/>
          <w:rFonts w:asciiTheme="minorHAnsi" w:hAnsiTheme="minorHAnsi" w:cstheme="minorHAnsi"/>
        </w:rPr>
        <w:footnoteRef/>
      </w:r>
      <w:r w:rsidRPr="00F54512">
        <w:rPr>
          <w:rFonts w:asciiTheme="minorHAnsi" w:hAnsiTheme="minorHAnsi" w:cstheme="minorHAnsi"/>
        </w:rPr>
        <w:t xml:space="preserve"> Ibid.</w:t>
      </w:r>
    </w:p>
  </w:footnote>
  <w:footnote w:id="10">
    <w:p w14:paraId="29C2239D" w14:textId="462ABA09" w:rsidR="00F22F55" w:rsidRPr="00F54512" w:rsidRDefault="00F22F55">
      <w:pPr>
        <w:pStyle w:val="FootnoteText"/>
        <w:rPr>
          <w:rFonts w:asciiTheme="minorHAnsi" w:hAnsiTheme="minorHAnsi" w:cstheme="minorHAnsi"/>
        </w:rPr>
      </w:pPr>
      <w:r w:rsidRPr="00F54512">
        <w:rPr>
          <w:rStyle w:val="FootnoteReference"/>
          <w:rFonts w:asciiTheme="minorHAnsi" w:hAnsiTheme="minorHAnsi" w:cstheme="minorHAnsi"/>
        </w:rPr>
        <w:footnoteRef/>
      </w:r>
      <w:r w:rsidRPr="00F54512">
        <w:rPr>
          <w:rFonts w:asciiTheme="minorHAnsi" w:hAnsiTheme="minorHAnsi" w:cstheme="minorHAnsi"/>
        </w:rPr>
        <w:t xml:space="preserve"> </w:t>
      </w:r>
      <w:r w:rsidR="00252378" w:rsidRPr="00F54512">
        <w:rPr>
          <w:rFonts w:asciiTheme="minorHAnsi" w:hAnsiTheme="minorHAnsi" w:cstheme="minorHAnsi"/>
        </w:rPr>
        <w:t>Scott 2022.</w:t>
      </w:r>
    </w:p>
  </w:footnote>
  <w:footnote w:id="11">
    <w:p w14:paraId="1DC8C60E" w14:textId="77F4E07C" w:rsidR="00647720" w:rsidRPr="00F54512" w:rsidRDefault="00647720">
      <w:pPr>
        <w:pStyle w:val="FootnoteText"/>
        <w:rPr>
          <w:rFonts w:asciiTheme="minorHAnsi" w:hAnsiTheme="minorHAnsi" w:cstheme="minorHAnsi"/>
        </w:rPr>
      </w:pPr>
      <w:r w:rsidRPr="00F54512">
        <w:rPr>
          <w:rStyle w:val="FootnoteReference"/>
          <w:rFonts w:asciiTheme="minorHAnsi" w:hAnsiTheme="minorHAnsi" w:cstheme="minorHAnsi"/>
        </w:rPr>
        <w:footnoteRef/>
      </w:r>
      <w:r w:rsidRPr="00F54512">
        <w:rPr>
          <w:rFonts w:asciiTheme="minorHAnsi" w:hAnsiTheme="minorHAnsi" w:cstheme="minorHAnsi"/>
        </w:rPr>
        <w:t xml:space="preserve"> </w:t>
      </w:r>
      <w:r w:rsidR="00602100" w:rsidRPr="00F54512">
        <w:rPr>
          <w:rFonts w:asciiTheme="minorHAnsi" w:hAnsiTheme="minorHAnsi" w:cstheme="minorHAnsi"/>
        </w:rPr>
        <w:t>Ibid.</w:t>
      </w:r>
    </w:p>
  </w:footnote>
  <w:footnote w:id="12">
    <w:p w14:paraId="16AFA3DE" w14:textId="75149C7A" w:rsidR="007B3529" w:rsidRPr="00F54512" w:rsidRDefault="007B3529">
      <w:pPr>
        <w:pStyle w:val="FootnoteText"/>
        <w:rPr>
          <w:rFonts w:asciiTheme="minorHAnsi" w:hAnsiTheme="minorHAnsi" w:cstheme="minorHAnsi"/>
        </w:rPr>
      </w:pPr>
      <w:r w:rsidRPr="00F54512">
        <w:rPr>
          <w:rStyle w:val="FootnoteReference"/>
          <w:rFonts w:asciiTheme="minorHAnsi" w:hAnsiTheme="minorHAnsi" w:cstheme="minorHAnsi"/>
        </w:rPr>
        <w:footnoteRef/>
      </w:r>
      <w:r w:rsidRPr="00F54512">
        <w:rPr>
          <w:rFonts w:asciiTheme="minorHAnsi" w:hAnsiTheme="minorHAnsi" w:cstheme="minorHAnsi"/>
        </w:rPr>
        <w:t xml:space="preserve"> </w:t>
      </w:r>
      <w:r w:rsidR="00EF19EB" w:rsidRPr="00F54512">
        <w:rPr>
          <w:rFonts w:asciiTheme="minorHAnsi" w:hAnsiTheme="minorHAnsi" w:cstheme="minorHAnsi"/>
        </w:rPr>
        <w:t>Liu et al. 2021.</w:t>
      </w:r>
    </w:p>
  </w:footnote>
  <w:footnote w:id="13">
    <w:p w14:paraId="3872986E" w14:textId="11B07A61" w:rsidR="004A692A" w:rsidRDefault="004A692A">
      <w:pPr>
        <w:pStyle w:val="FootnoteText"/>
      </w:pPr>
      <w:r w:rsidRPr="00F54512">
        <w:rPr>
          <w:rStyle w:val="FootnoteReference"/>
          <w:rFonts w:asciiTheme="minorHAnsi" w:hAnsiTheme="minorHAnsi" w:cstheme="minorHAnsi"/>
        </w:rPr>
        <w:footnoteRef/>
      </w:r>
      <w:r w:rsidRPr="00F54512">
        <w:rPr>
          <w:rFonts w:asciiTheme="minorHAnsi" w:hAnsiTheme="minorHAnsi" w:cstheme="minorHAnsi"/>
        </w:rPr>
        <w:t xml:space="preserve"> </w:t>
      </w:r>
      <w:r w:rsidR="003A7C93" w:rsidRPr="00F54512">
        <w:rPr>
          <w:rFonts w:asciiTheme="minorHAnsi" w:hAnsiTheme="minorHAnsi" w:cstheme="minorHAnsi"/>
        </w:rPr>
        <w:t>Baillie et al. 2022.</w:t>
      </w:r>
    </w:p>
  </w:footnote>
  <w:footnote w:id="14">
    <w:p w14:paraId="66CF13B5" w14:textId="077F7EC3" w:rsidR="00E60A6E" w:rsidRPr="009D2B11" w:rsidRDefault="00E60A6E">
      <w:pPr>
        <w:pStyle w:val="FootnoteText"/>
        <w:rPr>
          <w:rFonts w:asciiTheme="minorHAnsi" w:hAnsiTheme="minorHAnsi" w:cstheme="minorHAnsi"/>
        </w:rPr>
      </w:pPr>
      <w:r w:rsidRPr="009D2B11">
        <w:rPr>
          <w:rStyle w:val="FootnoteReference"/>
          <w:rFonts w:asciiTheme="minorHAnsi" w:hAnsiTheme="minorHAnsi" w:cstheme="minorHAnsi"/>
        </w:rPr>
        <w:footnoteRef/>
      </w:r>
      <w:r w:rsidRPr="009D2B11">
        <w:rPr>
          <w:rFonts w:asciiTheme="minorHAnsi" w:hAnsiTheme="minorHAnsi" w:cstheme="minorHAnsi"/>
        </w:rPr>
        <w:t xml:space="preserve"> </w:t>
      </w:r>
      <w:r w:rsidR="00143CC2" w:rsidRPr="009D2B11">
        <w:rPr>
          <w:rFonts w:asciiTheme="minorHAnsi" w:hAnsiTheme="minorHAnsi" w:cstheme="minorHAnsi"/>
        </w:rPr>
        <w:t xml:space="preserve">Angeles &amp; </w:t>
      </w:r>
      <w:proofErr w:type="spellStart"/>
      <w:r w:rsidR="00143CC2" w:rsidRPr="009D2B11">
        <w:rPr>
          <w:rFonts w:asciiTheme="minorHAnsi" w:hAnsiTheme="minorHAnsi" w:cstheme="minorHAnsi"/>
        </w:rPr>
        <w:t>Hensher</w:t>
      </w:r>
      <w:proofErr w:type="spellEnd"/>
      <w:r w:rsidR="00143CC2" w:rsidRPr="009D2B11">
        <w:rPr>
          <w:rFonts w:asciiTheme="minorHAnsi" w:hAnsiTheme="minorHAnsi" w:cstheme="minorHAnsi"/>
        </w:rPr>
        <w:t xml:space="preserve"> 2022.</w:t>
      </w:r>
    </w:p>
  </w:footnote>
  <w:footnote w:id="15">
    <w:p w14:paraId="406F2F34" w14:textId="77777777" w:rsidR="000F010A" w:rsidRPr="009D2B11" w:rsidRDefault="000F010A" w:rsidP="000F010A">
      <w:pPr>
        <w:pStyle w:val="FootnoteText"/>
        <w:rPr>
          <w:rFonts w:asciiTheme="minorHAnsi" w:hAnsiTheme="minorHAnsi" w:cstheme="minorHAnsi"/>
        </w:rPr>
      </w:pPr>
      <w:r w:rsidRPr="009D2B11">
        <w:rPr>
          <w:rStyle w:val="FootnoteReference"/>
          <w:rFonts w:asciiTheme="minorHAnsi" w:hAnsiTheme="minorHAnsi" w:cstheme="minorHAnsi"/>
        </w:rPr>
        <w:footnoteRef/>
      </w:r>
      <w:r w:rsidRPr="009D2B11">
        <w:rPr>
          <w:rFonts w:asciiTheme="minorHAnsi" w:hAnsiTheme="minorHAnsi" w:cstheme="minorHAnsi"/>
        </w:rPr>
        <w:t xml:space="preserve"> Bull-</w:t>
      </w:r>
      <w:proofErr w:type="spellStart"/>
      <w:r w:rsidRPr="009D2B11">
        <w:rPr>
          <w:rFonts w:asciiTheme="minorHAnsi" w:hAnsiTheme="minorHAnsi" w:cstheme="minorHAnsi"/>
        </w:rPr>
        <w:t>Otterson</w:t>
      </w:r>
      <w:proofErr w:type="spellEnd"/>
      <w:r w:rsidRPr="009D2B11">
        <w:rPr>
          <w:rFonts w:asciiTheme="minorHAnsi" w:hAnsiTheme="minorHAnsi" w:cstheme="minorHAnsi"/>
        </w:rPr>
        <w:t xml:space="preserve"> et al. 2022.</w:t>
      </w:r>
    </w:p>
  </w:footnote>
  <w:footnote w:id="16">
    <w:p w14:paraId="0472C49F" w14:textId="77777777" w:rsidR="000F010A" w:rsidRPr="009D2B11" w:rsidRDefault="000F010A" w:rsidP="000F010A">
      <w:pPr>
        <w:pStyle w:val="FootnoteText"/>
        <w:rPr>
          <w:rFonts w:asciiTheme="minorHAnsi" w:hAnsiTheme="minorHAnsi" w:cstheme="minorHAnsi"/>
        </w:rPr>
      </w:pPr>
      <w:r w:rsidRPr="009D2B11">
        <w:rPr>
          <w:rStyle w:val="FootnoteReference"/>
          <w:rFonts w:asciiTheme="minorHAnsi" w:hAnsiTheme="minorHAnsi" w:cstheme="minorHAnsi"/>
        </w:rPr>
        <w:footnoteRef/>
      </w:r>
      <w:r w:rsidRPr="009D2B11">
        <w:rPr>
          <w:rFonts w:asciiTheme="minorHAnsi" w:hAnsiTheme="minorHAnsi" w:cstheme="minorHAnsi"/>
        </w:rPr>
        <w:t xml:space="preserve"> Thompson 2022.</w:t>
      </w:r>
    </w:p>
  </w:footnote>
  <w:footnote w:id="17">
    <w:p w14:paraId="5BCD4563" w14:textId="7BFB8698" w:rsidR="003D06AF" w:rsidRPr="009D2B11" w:rsidRDefault="003D06AF">
      <w:pPr>
        <w:pStyle w:val="FootnoteText"/>
        <w:rPr>
          <w:rFonts w:asciiTheme="minorHAnsi" w:hAnsiTheme="minorHAnsi" w:cstheme="minorHAnsi"/>
        </w:rPr>
      </w:pPr>
      <w:r w:rsidRPr="009D2B11">
        <w:rPr>
          <w:rStyle w:val="FootnoteReference"/>
          <w:rFonts w:asciiTheme="minorHAnsi" w:hAnsiTheme="minorHAnsi" w:cstheme="minorHAnsi"/>
        </w:rPr>
        <w:footnoteRef/>
      </w:r>
      <w:r w:rsidRPr="009D2B11">
        <w:rPr>
          <w:rFonts w:asciiTheme="minorHAnsi" w:hAnsiTheme="minorHAnsi" w:cstheme="minorHAnsi"/>
        </w:rPr>
        <w:t xml:space="preserve"> </w:t>
      </w:r>
      <w:r w:rsidR="00FF1A89" w:rsidRPr="009D2B11">
        <w:rPr>
          <w:rFonts w:asciiTheme="minorHAnsi" w:hAnsiTheme="minorHAnsi" w:cstheme="minorHAnsi"/>
        </w:rPr>
        <w:t>Al-Aly et al. 2022.</w:t>
      </w:r>
    </w:p>
  </w:footnote>
  <w:footnote w:id="18">
    <w:p w14:paraId="0AA1DB00" w14:textId="1E4AFAA0" w:rsidR="00C43030" w:rsidRPr="009D2B11" w:rsidRDefault="00C43030">
      <w:pPr>
        <w:pStyle w:val="FootnoteText"/>
        <w:rPr>
          <w:rFonts w:asciiTheme="minorHAnsi" w:hAnsiTheme="minorHAnsi" w:cstheme="minorHAnsi"/>
        </w:rPr>
      </w:pPr>
      <w:r w:rsidRPr="009D2B11">
        <w:rPr>
          <w:rStyle w:val="FootnoteReference"/>
          <w:rFonts w:asciiTheme="minorHAnsi" w:hAnsiTheme="minorHAnsi" w:cstheme="minorHAnsi"/>
        </w:rPr>
        <w:footnoteRef/>
      </w:r>
      <w:r w:rsidRPr="009D2B11">
        <w:rPr>
          <w:rFonts w:asciiTheme="minorHAnsi" w:hAnsiTheme="minorHAnsi" w:cstheme="minorHAnsi"/>
        </w:rPr>
        <w:t xml:space="preserve"> </w:t>
      </w:r>
      <w:proofErr w:type="spellStart"/>
      <w:r w:rsidR="00CE03A6" w:rsidRPr="009D2B11">
        <w:rPr>
          <w:rFonts w:asciiTheme="minorHAnsi" w:hAnsiTheme="minorHAnsi" w:cstheme="minorHAnsi"/>
        </w:rPr>
        <w:t>Radulova</w:t>
      </w:r>
      <w:proofErr w:type="spellEnd"/>
      <w:r w:rsidR="00CE03A6" w:rsidRPr="009D2B11">
        <w:rPr>
          <w:rFonts w:asciiTheme="minorHAnsi" w:hAnsiTheme="minorHAnsi" w:cstheme="minorHAnsi"/>
        </w:rPr>
        <w:t xml:space="preserve"> 2022.</w:t>
      </w:r>
    </w:p>
  </w:footnote>
  <w:footnote w:id="19">
    <w:p w14:paraId="76F84231" w14:textId="39AAEFF0" w:rsidR="00AC1E79" w:rsidRDefault="00AC1E79">
      <w:pPr>
        <w:pStyle w:val="FootnoteText"/>
      </w:pPr>
      <w:r w:rsidRPr="009D2B11">
        <w:rPr>
          <w:rStyle w:val="FootnoteReference"/>
          <w:rFonts w:asciiTheme="minorHAnsi" w:hAnsiTheme="minorHAnsi" w:cstheme="minorHAnsi"/>
        </w:rPr>
        <w:footnoteRef/>
      </w:r>
      <w:r w:rsidRPr="009D2B11">
        <w:rPr>
          <w:rFonts w:asciiTheme="minorHAnsi" w:hAnsiTheme="minorHAnsi" w:cstheme="minorHAnsi"/>
        </w:rPr>
        <w:t xml:space="preserve"> </w:t>
      </w:r>
      <w:r w:rsidR="009D2B11" w:rsidRPr="009D2B11">
        <w:rPr>
          <w:rFonts w:asciiTheme="minorHAnsi" w:hAnsiTheme="minorHAnsi" w:cstheme="minorHAnsi"/>
        </w:rPr>
        <w:t>Ibid.</w:t>
      </w:r>
    </w:p>
  </w:footnote>
  <w:footnote w:id="20">
    <w:p w14:paraId="2ECD9FBC" w14:textId="65CE5617" w:rsidR="000D712A" w:rsidRPr="00B62271" w:rsidRDefault="000D712A">
      <w:pPr>
        <w:pStyle w:val="FootnoteText"/>
        <w:rPr>
          <w:rFonts w:asciiTheme="minorHAnsi" w:hAnsiTheme="minorHAnsi" w:cstheme="minorHAnsi"/>
        </w:rPr>
      </w:pPr>
      <w:r w:rsidRPr="00B62271">
        <w:rPr>
          <w:rStyle w:val="FootnoteReference"/>
          <w:rFonts w:asciiTheme="minorHAnsi" w:hAnsiTheme="minorHAnsi" w:cstheme="minorHAnsi"/>
        </w:rPr>
        <w:footnoteRef/>
      </w:r>
      <w:r w:rsidRPr="00B62271">
        <w:rPr>
          <w:rFonts w:asciiTheme="minorHAnsi" w:hAnsiTheme="minorHAnsi" w:cstheme="minorHAnsi"/>
        </w:rPr>
        <w:t xml:space="preserve"> </w:t>
      </w:r>
      <w:r w:rsidR="006B0DB1" w:rsidRPr="00B62271">
        <w:rPr>
          <w:rFonts w:asciiTheme="minorHAnsi" w:hAnsiTheme="minorHAnsi" w:cstheme="minorHAnsi"/>
        </w:rPr>
        <w:t>Prof. Paul Kelly</w:t>
      </w:r>
      <w:r w:rsidR="00F54512" w:rsidRPr="00B62271">
        <w:rPr>
          <w:rFonts w:asciiTheme="minorHAnsi" w:hAnsiTheme="minorHAnsi" w:cstheme="minorHAnsi"/>
        </w:rPr>
        <w:t xml:space="preserve">, quoted in </w:t>
      </w:r>
      <w:proofErr w:type="spellStart"/>
      <w:r w:rsidRPr="00B62271">
        <w:rPr>
          <w:rFonts w:asciiTheme="minorHAnsi" w:hAnsiTheme="minorHAnsi" w:cstheme="minorHAnsi"/>
        </w:rPr>
        <w:t>Radulova</w:t>
      </w:r>
      <w:proofErr w:type="spellEnd"/>
      <w:r w:rsidRPr="00B62271">
        <w:rPr>
          <w:rFonts w:asciiTheme="minorHAnsi" w:hAnsiTheme="minorHAnsi" w:cstheme="minorHAnsi"/>
        </w:rPr>
        <w:t xml:space="preserve"> 2022.</w:t>
      </w:r>
    </w:p>
  </w:footnote>
  <w:footnote w:id="21">
    <w:p w14:paraId="1F931580" w14:textId="1B3246FE" w:rsidR="00D032E9" w:rsidRPr="00B62271" w:rsidRDefault="00D032E9">
      <w:pPr>
        <w:pStyle w:val="FootnoteText"/>
        <w:rPr>
          <w:rFonts w:asciiTheme="minorHAnsi" w:hAnsiTheme="minorHAnsi" w:cstheme="minorHAnsi"/>
        </w:rPr>
      </w:pPr>
      <w:r w:rsidRPr="00B62271">
        <w:rPr>
          <w:rStyle w:val="FootnoteReference"/>
          <w:rFonts w:asciiTheme="minorHAnsi" w:hAnsiTheme="minorHAnsi" w:cstheme="minorHAnsi"/>
        </w:rPr>
        <w:footnoteRef/>
      </w:r>
      <w:r w:rsidRPr="00B62271">
        <w:rPr>
          <w:rFonts w:asciiTheme="minorHAnsi" w:hAnsiTheme="minorHAnsi" w:cstheme="minorHAnsi"/>
        </w:rPr>
        <w:t xml:space="preserve"> </w:t>
      </w:r>
      <w:r w:rsidR="00526F96" w:rsidRPr="00B62271">
        <w:rPr>
          <w:rFonts w:asciiTheme="minorHAnsi" w:hAnsiTheme="minorHAnsi" w:cstheme="minorHAnsi"/>
        </w:rPr>
        <w:t>Dow 2022.</w:t>
      </w:r>
    </w:p>
  </w:footnote>
  <w:footnote w:id="22">
    <w:p w14:paraId="6D8E678D" w14:textId="13B0EEB4" w:rsidR="001510B8" w:rsidRPr="00B62271" w:rsidRDefault="001510B8">
      <w:pPr>
        <w:pStyle w:val="FootnoteText"/>
        <w:rPr>
          <w:rFonts w:asciiTheme="minorHAnsi" w:hAnsiTheme="minorHAnsi" w:cstheme="minorHAnsi"/>
        </w:rPr>
      </w:pPr>
      <w:r w:rsidRPr="00B62271">
        <w:rPr>
          <w:rStyle w:val="FootnoteReference"/>
          <w:rFonts w:asciiTheme="minorHAnsi" w:hAnsiTheme="minorHAnsi" w:cstheme="minorHAnsi"/>
        </w:rPr>
        <w:footnoteRef/>
      </w:r>
      <w:r w:rsidRPr="00B62271">
        <w:rPr>
          <w:rFonts w:asciiTheme="minorHAnsi" w:hAnsiTheme="minorHAnsi" w:cstheme="minorHAnsi"/>
        </w:rPr>
        <w:t xml:space="preserve"> </w:t>
      </w:r>
      <w:r w:rsidR="00B62271">
        <w:rPr>
          <w:rFonts w:asciiTheme="minorHAnsi" w:hAnsiTheme="minorHAnsi" w:cstheme="minorHAnsi"/>
        </w:rPr>
        <w:t xml:space="preserve">Prof. Faux, quoted in </w:t>
      </w:r>
      <w:proofErr w:type="spellStart"/>
      <w:r w:rsidRPr="00B62271">
        <w:rPr>
          <w:rFonts w:asciiTheme="minorHAnsi" w:hAnsiTheme="minorHAnsi" w:cstheme="minorHAnsi"/>
        </w:rPr>
        <w:t>Radulova</w:t>
      </w:r>
      <w:proofErr w:type="spellEnd"/>
      <w:r w:rsidRPr="00B62271">
        <w:rPr>
          <w:rFonts w:asciiTheme="minorHAnsi" w:hAnsiTheme="minorHAnsi" w:cstheme="minorHAnsi"/>
        </w:rPr>
        <w:t xml:space="preserve"> 2022.</w:t>
      </w:r>
    </w:p>
  </w:footnote>
  <w:footnote w:id="23">
    <w:p w14:paraId="53FF7107" w14:textId="48B71C5B" w:rsidR="007B286D" w:rsidRDefault="007B286D">
      <w:pPr>
        <w:pStyle w:val="FootnoteText"/>
      </w:pPr>
      <w:r w:rsidRPr="00B62271">
        <w:rPr>
          <w:rStyle w:val="FootnoteReference"/>
          <w:rFonts w:asciiTheme="minorHAnsi" w:hAnsiTheme="minorHAnsi" w:cstheme="minorHAnsi"/>
        </w:rPr>
        <w:footnoteRef/>
      </w:r>
      <w:r w:rsidRPr="00B62271">
        <w:rPr>
          <w:rFonts w:asciiTheme="minorHAnsi" w:hAnsiTheme="minorHAnsi" w:cstheme="minorHAnsi"/>
        </w:rPr>
        <w:t xml:space="preserve"> </w:t>
      </w:r>
      <w:r w:rsidR="00B62271">
        <w:rPr>
          <w:rFonts w:asciiTheme="minorHAnsi" w:hAnsiTheme="minorHAnsi" w:cstheme="minorHAnsi"/>
        </w:rPr>
        <w:t xml:space="preserve">Dr Yeoman, quoted in </w:t>
      </w:r>
      <w:proofErr w:type="spellStart"/>
      <w:r w:rsidR="00B62271" w:rsidRPr="00B62271">
        <w:rPr>
          <w:rFonts w:asciiTheme="minorHAnsi" w:hAnsiTheme="minorHAnsi" w:cstheme="minorHAnsi"/>
        </w:rPr>
        <w:t>Radulova</w:t>
      </w:r>
      <w:proofErr w:type="spellEnd"/>
      <w:r w:rsidR="00B62271" w:rsidRPr="00B62271">
        <w:rPr>
          <w:rFonts w:asciiTheme="minorHAnsi" w:hAnsiTheme="minorHAnsi" w:cstheme="minorHAnsi"/>
        </w:rPr>
        <w:t xml:space="preserve"> 2022</w:t>
      </w:r>
      <w:r w:rsidR="00B62271">
        <w:rPr>
          <w:rFonts w:asciiTheme="minorHAnsi" w:hAnsiTheme="minorHAnsi" w:cstheme="minorHAnsi"/>
        </w:rPr>
        <w:t>.</w:t>
      </w:r>
    </w:p>
  </w:footnote>
  <w:footnote w:id="24">
    <w:p w14:paraId="387B092E" w14:textId="0C714A5A" w:rsidR="00973D00" w:rsidRPr="00A85342" w:rsidRDefault="00973D00">
      <w:pPr>
        <w:pStyle w:val="FootnoteText"/>
        <w:rPr>
          <w:rFonts w:asciiTheme="minorHAnsi" w:hAnsiTheme="minorHAnsi" w:cstheme="minorHAnsi"/>
        </w:rPr>
      </w:pPr>
      <w:r w:rsidRPr="00A85342">
        <w:rPr>
          <w:rStyle w:val="FootnoteReference"/>
          <w:rFonts w:asciiTheme="minorHAnsi" w:hAnsiTheme="minorHAnsi" w:cstheme="minorHAnsi"/>
        </w:rPr>
        <w:footnoteRef/>
      </w:r>
      <w:r w:rsidRPr="00A85342">
        <w:rPr>
          <w:rFonts w:asciiTheme="minorHAnsi" w:hAnsiTheme="minorHAnsi" w:cstheme="minorHAnsi"/>
        </w:rPr>
        <w:t xml:space="preserve"> </w:t>
      </w:r>
      <w:r w:rsidR="00A85342" w:rsidRPr="00A85342">
        <w:rPr>
          <w:rFonts w:asciiTheme="minorHAnsi" w:hAnsiTheme="minorHAnsi" w:cstheme="minorHAnsi"/>
        </w:rPr>
        <w:t xml:space="preserve">Dr Yeoman, quoted in </w:t>
      </w:r>
      <w:proofErr w:type="spellStart"/>
      <w:r w:rsidR="00A85342" w:rsidRPr="00A85342">
        <w:rPr>
          <w:rFonts w:asciiTheme="minorHAnsi" w:hAnsiTheme="minorHAnsi" w:cstheme="minorHAnsi"/>
        </w:rPr>
        <w:t>Radulova</w:t>
      </w:r>
      <w:proofErr w:type="spellEnd"/>
      <w:r w:rsidR="00A85342" w:rsidRPr="00A85342">
        <w:rPr>
          <w:rFonts w:asciiTheme="minorHAnsi" w:hAnsiTheme="minorHAnsi" w:cstheme="minorHAnsi"/>
        </w:rPr>
        <w:t xml:space="preserve"> 2022.</w:t>
      </w:r>
    </w:p>
  </w:footnote>
  <w:footnote w:id="25">
    <w:p w14:paraId="213DFC5B" w14:textId="19E1F7C4" w:rsidR="00F11F4E" w:rsidRPr="00A85342" w:rsidRDefault="00F11F4E">
      <w:pPr>
        <w:pStyle w:val="FootnoteText"/>
        <w:rPr>
          <w:rFonts w:asciiTheme="minorHAnsi" w:hAnsiTheme="minorHAnsi" w:cstheme="minorHAnsi"/>
        </w:rPr>
      </w:pPr>
      <w:r w:rsidRPr="00A85342">
        <w:rPr>
          <w:rStyle w:val="FootnoteReference"/>
          <w:rFonts w:asciiTheme="minorHAnsi" w:hAnsiTheme="minorHAnsi" w:cstheme="minorHAnsi"/>
        </w:rPr>
        <w:footnoteRef/>
      </w:r>
      <w:r w:rsidRPr="00A85342">
        <w:rPr>
          <w:rFonts w:asciiTheme="minorHAnsi" w:hAnsiTheme="minorHAnsi" w:cstheme="minorHAnsi"/>
        </w:rPr>
        <w:t xml:space="preserve"> </w:t>
      </w:r>
      <w:r w:rsidR="00A46E2A" w:rsidRPr="00A85342">
        <w:rPr>
          <w:rFonts w:asciiTheme="minorHAnsi" w:hAnsiTheme="minorHAnsi" w:cstheme="minorHAnsi"/>
        </w:rPr>
        <w:t>Dow 2022.</w:t>
      </w:r>
    </w:p>
  </w:footnote>
  <w:footnote w:id="26">
    <w:p w14:paraId="72785FFB" w14:textId="4E993F69" w:rsidR="006D06DA" w:rsidRPr="00A85342" w:rsidRDefault="006D06DA">
      <w:pPr>
        <w:pStyle w:val="FootnoteText"/>
        <w:rPr>
          <w:rFonts w:asciiTheme="minorHAnsi" w:hAnsiTheme="minorHAnsi" w:cstheme="minorHAnsi"/>
        </w:rPr>
      </w:pPr>
      <w:r w:rsidRPr="00A85342">
        <w:rPr>
          <w:rStyle w:val="FootnoteReference"/>
          <w:rFonts w:asciiTheme="minorHAnsi" w:hAnsiTheme="minorHAnsi" w:cstheme="minorHAnsi"/>
        </w:rPr>
        <w:footnoteRef/>
      </w:r>
      <w:r w:rsidRPr="00A85342">
        <w:rPr>
          <w:rFonts w:asciiTheme="minorHAnsi" w:hAnsiTheme="minorHAnsi" w:cstheme="minorHAnsi"/>
        </w:rPr>
        <w:t xml:space="preserve"> </w:t>
      </w:r>
      <w:r w:rsidR="003A66B6" w:rsidRPr="00A85342">
        <w:rPr>
          <w:rFonts w:asciiTheme="minorHAnsi" w:hAnsiTheme="minorHAnsi" w:cstheme="minorHAnsi"/>
        </w:rPr>
        <w:t>Prof</w:t>
      </w:r>
      <w:r w:rsidR="00C63A56" w:rsidRPr="00A85342">
        <w:rPr>
          <w:rFonts w:asciiTheme="minorHAnsi" w:hAnsiTheme="minorHAnsi" w:cstheme="minorHAnsi"/>
        </w:rPr>
        <w:t>.</w:t>
      </w:r>
      <w:r w:rsidR="003A66B6" w:rsidRPr="00A85342">
        <w:rPr>
          <w:rFonts w:asciiTheme="minorHAnsi" w:hAnsiTheme="minorHAnsi" w:cstheme="minorHAnsi"/>
        </w:rPr>
        <w:t xml:space="preserve"> Martin </w:t>
      </w:r>
      <w:proofErr w:type="spellStart"/>
      <w:r w:rsidR="003A66B6" w:rsidRPr="00A85342">
        <w:rPr>
          <w:rFonts w:asciiTheme="minorHAnsi" w:hAnsiTheme="minorHAnsi" w:cstheme="minorHAnsi"/>
        </w:rPr>
        <w:t>Hensher</w:t>
      </w:r>
      <w:proofErr w:type="spellEnd"/>
      <w:r w:rsidR="001B2FAB" w:rsidRPr="00A85342">
        <w:rPr>
          <w:rFonts w:asciiTheme="minorHAnsi" w:hAnsiTheme="minorHAnsi" w:cstheme="minorHAnsi"/>
        </w:rPr>
        <w:t>,</w:t>
      </w:r>
      <w:r w:rsidR="00C63A56" w:rsidRPr="00A85342">
        <w:rPr>
          <w:rFonts w:asciiTheme="minorHAnsi" w:hAnsiTheme="minorHAnsi" w:cstheme="minorHAnsi"/>
        </w:rPr>
        <w:t xml:space="preserve"> quoted in </w:t>
      </w:r>
      <w:r w:rsidR="00820E86" w:rsidRPr="00A85342">
        <w:rPr>
          <w:rFonts w:asciiTheme="minorHAnsi" w:hAnsiTheme="minorHAnsi" w:cstheme="minorHAnsi"/>
        </w:rPr>
        <w:t>Johnson 2022</w:t>
      </w:r>
      <w:r w:rsidR="004B6C2E" w:rsidRPr="00A85342">
        <w:rPr>
          <w:rFonts w:asciiTheme="minorHAnsi" w:hAnsiTheme="minorHAnsi" w:cstheme="minorHAnsi"/>
        </w:rPr>
        <w:t>.</w:t>
      </w:r>
    </w:p>
  </w:footnote>
  <w:footnote w:id="27">
    <w:p w14:paraId="467A35D4" w14:textId="77777777" w:rsidR="009600E3" w:rsidRPr="00A85342" w:rsidRDefault="009600E3" w:rsidP="009600E3">
      <w:pPr>
        <w:pStyle w:val="FootnoteText"/>
        <w:rPr>
          <w:rFonts w:asciiTheme="minorHAnsi" w:hAnsiTheme="minorHAnsi" w:cstheme="minorHAnsi"/>
        </w:rPr>
      </w:pPr>
      <w:r w:rsidRPr="00A85342">
        <w:rPr>
          <w:rStyle w:val="FootnoteReference"/>
          <w:rFonts w:asciiTheme="minorHAnsi" w:hAnsiTheme="minorHAnsi" w:cstheme="minorHAnsi"/>
        </w:rPr>
        <w:footnoteRef/>
      </w:r>
      <w:r w:rsidRPr="00A85342">
        <w:rPr>
          <w:rFonts w:asciiTheme="minorHAnsi" w:hAnsiTheme="minorHAnsi" w:cstheme="minorHAnsi"/>
        </w:rPr>
        <w:t xml:space="preserve"> NIHR 2022.</w:t>
      </w:r>
    </w:p>
  </w:footnote>
  <w:footnote w:id="28">
    <w:p w14:paraId="46D181A2" w14:textId="41655BDE" w:rsidR="005C0BA4" w:rsidRPr="00A85342" w:rsidRDefault="005C0BA4">
      <w:pPr>
        <w:pStyle w:val="FootnoteText"/>
        <w:rPr>
          <w:rFonts w:asciiTheme="minorHAnsi" w:hAnsiTheme="minorHAnsi" w:cstheme="minorHAnsi"/>
        </w:rPr>
      </w:pPr>
      <w:r w:rsidRPr="00A85342">
        <w:rPr>
          <w:rStyle w:val="FootnoteReference"/>
          <w:rFonts w:asciiTheme="minorHAnsi" w:hAnsiTheme="minorHAnsi" w:cstheme="minorHAnsi"/>
        </w:rPr>
        <w:footnoteRef/>
      </w:r>
      <w:r w:rsidRPr="00A85342">
        <w:rPr>
          <w:rFonts w:asciiTheme="minorHAnsi" w:hAnsiTheme="minorHAnsi" w:cstheme="minorHAnsi"/>
        </w:rPr>
        <w:t xml:space="preserve"> </w:t>
      </w:r>
      <w:proofErr w:type="spellStart"/>
      <w:r w:rsidR="00092247" w:rsidRPr="00A85342">
        <w:rPr>
          <w:rFonts w:asciiTheme="minorHAnsi" w:hAnsiTheme="minorHAnsi" w:cstheme="minorHAnsi"/>
        </w:rPr>
        <w:t>Subbaraman</w:t>
      </w:r>
      <w:proofErr w:type="spellEnd"/>
      <w:r w:rsidR="00092247" w:rsidRPr="00A85342">
        <w:rPr>
          <w:rFonts w:asciiTheme="minorHAnsi" w:hAnsiTheme="minorHAnsi" w:cstheme="minorHAnsi"/>
        </w:rPr>
        <w:t xml:space="preserve"> 2021.</w:t>
      </w:r>
    </w:p>
  </w:footnote>
  <w:footnote w:id="29">
    <w:p w14:paraId="4A926BC1" w14:textId="228E77DE" w:rsidR="000743F0" w:rsidRPr="00A85342" w:rsidRDefault="000743F0">
      <w:pPr>
        <w:pStyle w:val="FootnoteText"/>
        <w:rPr>
          <w:rFonts w:asciiTheme="minorHAnsi" w:hAnsiTheme="minorHAnsi" w:cstheme="minorHAnsi"/>
        </w:rPr>
      </w:pPr>
      <w:r w:rsidRPr="00A85342">
        <w:rPr>
          <w:rStyle w:val="FootnoteReference"/>
          <w:rFonts w:asciiTheme="minorHAnsi" w:hAnsiTheme="minorHAnsi" w:cstheme="minorHAnsi"/>
        </w:rPr>
        <w:footnoteRef/>
      </w:r>
      <w:r w:rsidRPr="00A85342">
        <w:rPr>
          <w:rFonts w:asciiTheme="minorHAnsi" w:hAnsiTheme="minorHAnsi" w:cstheme="minorHAnsi"/>
        </w:rPr>
        <w:t xml:space="preserve"> </w:t>
      </w:r>
      <w:r w:rsidR="008D0B7C" w:rsidRPr="00A85342">
        <w:rPr>
          <w:rFonts w:asciiTheme="minorHAnsi" w:hAnsiTheme="minorHAnsi" w:cstheme="minorHAnsi"/>
        </w:rPr>
        <w:t>Dr Paul Griffin,</w:t>
      </w:r>
      <w:r w:rsidR="001B2FAB" w:rsidRPr="00A85342">
        <w:rPr>
          <w:rFonts w:asciiTheme="minorHAnsi" w:hAnsiTheme="minorHAnsi" w:cstheme="minorHAnsi"/>
        </w:rPr>
        <w:t xml:space="preserve"> quoted in Johnson 2022.</w:t>
      </w:r>
    </w:p>
  </w:footnote>
  <w:footnote w:id="30">
    <w:p w14:paraId="4470C39D" w14:textId="5C1AFD51" w:rsidR="005372B7" w:rsidRPr="00A85342" w:rsidRDefault="005372B7">
      <w:pPr>
        <w:pStyle w:val="FootnoteText"/>
        <w:rPr>
          <w:rFonts w:asciiTheme="minorHAnsi" w:hAnsiTheme="minorHAnsi" w:cstheme="minorHAnsi"/>
        </w:rPr>
      </w:pPr>
      <w:r w:rsidRPr="00A85342">
        <w:rPr>
          <w:rStyle w:val="FootnoteReference"/>
          <w:rFonts w:asciiTheme="minorHAnsi" w:hAnsiTheme="minorHAnsi" w:cstheme="minorHAnsi"/>
        </w:rPr>
        <w:footnoteRef/>
      </w:r>
      <w:r w:rsidRPr="00A85342">
        <w:rPr>
          <w:rFonts w:asciiTheme="minorHAnsi" w:hAnsiTheme="minorHAnsi" w:cstheme="minorHAnsi"/>
        </w:rPr>
        <w:t xml:space="preserve"> Johnson 2022.</w:t>
      </w:r>
    </w:p>
  </w:footnote>
  <w:footnote w:id="31">
    <w:p w14:paraId="4E426BD4" w14:textId="29F138BD" w:rsidR="00D516B7" w:rsidRDefault="00D516B7">
      <w:pPr>
        <w:pStyle w:val="FootnoteText"/>
      </w:pPr>
      <w:r w:rsidRPr="00A85342">
        <w:rPr>
          <w:rStyle w:val="FootnoteReference"/>
          <w:rFonts w:asciiTheme="minorHAnsi" w:hAnsiTheme="minorHAnsi" w:cstheme="minorHAnsi"/>
        </w:rPr>
        <w:footnoteRef/>
      </w:r>
      <w:r w:rsidRPr="00A85342">
        <w:rPr>
          <w:rFonts w:asciiTheme="minorHAnsi" w:hAnsiTheme="minorHAnsi" w:cstheme="minorHAnsi"/>
        </w:rPr>
        <w:t xml:space="preserve"> Mannix 2022.</w:t>
      </w:r>
    </w:p>
  </w:footnote>
  <w:footnote w:id="32">
    <w:p w14:paraId="27F623D3" w14:textId="147EAA55" w:rsidR="003B5208" w:rsidRPr="00DE2AE2" w:rsidRDefault="003B5208">
      <w:pPr>
        <w:pStyle w:val="FootnoteText"/>
        <w:rPr>
          <w:rFonts w:asciiTheme="minorHAnsi" w:hAnsiTheme="minorHAnsi" w:cstheme="minorHAnsi"/>
        </w:rPr>
      </w:pPr>
      <w:r w:rsidRPr="00DE2AE2">
        <w:rPr>
          <w:rStyle w:val="FootnoteReference"/>
          <w:rFonts w:asciiTheme="minorHAnsi" w:hAnsiTheme="minorHAnsi" w:cstheme="minorHAnsi"/>
        </w:rPr>
        <w:footnoteRef/>
      </w:r>
      <w:r w:rsidRPr="00DE2AE2">
        <w:rPr>
          <w:rFonts w:asciiTheme="minorHAnsi" w:hAnsiTheme="minorHAnsi" w:cstheme="minorHAnsi"/>
        </w:rPr>
        <w:t xml:space="preserve"> </w:t>
      </w:r>
      <w:r w:rsidR="00BD3D78" w:rsidRPr="00DE2AE2">
        <w:rPr>
          <w:rFonts w:asciiTheme="minorHAnsi" w:hAnsiTheme="minorHAnsi" w:cstheme="minorHAnsi"/>
        </w:rPr>
        <w:t>Dow 2022.</w:t>
      </w:r>
    </w:p>
  </w:footnote>
  <w:footnote w:id="33">
    <w:p w14:paraId="22A022F6" w14:textId="6F8D014E" w:rsidR="004041FE" w:rsidRPr="00DE2AE2" w:rsidRDefault="004041FE">
      <w:pPr>
        <w:pStyle w:val="FootnoteText"/>
        <w:rPr>
          <w:rFonts w:asciiTheme="minorHAnsi" w:hAnsiTheme="minorHAnsi" w:cstheme="minorHAnsi"/>
        </w:rPr>
      </w:pPr>
      <w:r w:rsidRPr="00DE2AE2">
        <w:rPr>
          <w:rStyle w:val="FootnoteReference"/>
          <w:rFonts w:asciiTheme="minorHAnsi" w:hAnsiTheme="minorHAnsi" w:cstheme="minorHAnsi"/>
        </w:rPr>
        <w:footnoteRef/>
      </w:r>
      <w:r w:rsidRPr="00DE2AE2">
        <w:rPr>
          <w:rFonts w:asciiTheme="minorHAnsi" w:hAnsiTheme="minorHAnsi" w:cstheme="minorHAnsi"/>
        </w:rPr>
        <w:t xml:space="preserve"> Dow 2022.</w:t>
      </w:r>
    </w:p>
  </w:footnote>
  <w:footnote w:id="34">
    <w:p w14:paraId="609C5ABB" w14:textId="1274E272" w:rsidR="00C90CAE" w:rsidRPr="00DE2AE2" w:rsidRDefault="00C90CAE">
      <w:pPr>
        <w:pStyle w:val="FootnoteText"/>
        <w:rPr>
          <w:rFonts w:asciiTheme="minorHAnsi" w:hAnsiTheme="minorHAnsi" w:cstheme="minorHAnsi"/>
        </w:rPr>
      </w:pPr>
      <w:r w:rsidRPr="00DE2AE2">
        <w:rPr>
          <w:rStyle w:val="FootnoteReference"/>
          <w:rFonts w:asciiTheme="minorHAnsi" w:hAnsiTheme="minorHAnsi" w:cstheme="minorHAnsi"/>
        </w:rPr>
        <w:footnoteRef/>
      </w:r>
      <w:r w:rsidRPr="00DE2AE2">
        <w:rPr>
          <w:rFonts w:asciiTheme="minorHAnsi" w:hAnsiTheme="minorHAnsi" w:cstheme="minorHAnsi"/>
        </w:rPr>
        <w:t xml:space="preserve"> </w:t>
      </w:r>
      <w:r w:rsidR="00124597" w:rsidRPr="00DE2AE2">
        <w:rPr>
          <w:rFonts w:asciiTheme="minorHAnsi" w:hAnsiTheme="minorHAnsi" w:cstheme="minorHAnsi"/>
        </w:rPr>
        <w:t>Mannix 2022.</w:t>
      </w:r>
    </w:p>
  </w:footnote>
  <w:footnote w:id="35">
    <w:p w14:paraId="0A43F875" w14:textId="256A67EF" w:rsidR="002B15EC" w:rsidRPr="00DE2AE2" w:rsidRDefault="002B15EC">
      <w:pPr>
        <w:pStyle w:val="FootnoteText"/>
        <w:rPr>
          <w:rFonts w:asciiTheme="minorHAnsi" w:hAnsiTheme="minorHAnsi" w:cstheme="minorHAnsi"/>
        </w:rPr>
      </w:pPr>
      <w:r w:rsidRPr="00DE2AE2">
        <w:rPr>
          <w:rStyle w:val="FootnoteReference"/>
          <w:rFonts w:asciiTheme="minorHAnsi" w:hAnsiTheme="minorHAnsi" w:cstheme="minorHAnsi"/>
        </w:rPr>
        <w:footnoteRef/>
      </w:r>
      <w:r w:rsidRPr="00DE2AE2">
        <w:rPr>
          <w:rFonts w:asciiTheme="minorHAnsi" w:hAnsiTheme="minorHAnsi" w:cstheme="minorHAnsi"/>
        </w:rPr>
        <w:t xml:space="preserve"> Dow, 2022.</w:t>
      </w:r>
    </w:p>
  </w:footnote>
  <w:footnote w:id="36">
    <w:p w14:paraId="6D3EA517" w14:textId="0D87C12A" w:rsidR="00FC4A88" w:rsidRPr="00DE2AE2" w:rsidRDefault="00FC4A88">
      <w:pPr>
        <w:pStyle w:val="FootnoteText"/>
        <w:rPr>
          <w:rFonts w:asciiTheme="minorHAnsi" w:hAnsiTheme="minorHAnsi" w:cstheme="minorHAnsi"/>
        </w:rPr>
      </w:pPr>
      <w:r w:rsidRPr="00DE2AE2">
        <w:rPr>
          <w:rStyle w:val="FootnoteReference"/>
          <w:rFonts w:asciiTheme="minorHAnsi" w:hAnsiTheme="minorHAnsi" w:cstheme="minorHAnsi"/>
        </w:rPr>
        <w:footnoteRef/>
      </w:r>
      <w:r w:rsidRPr="00DE2AE2">
        <w:rPr>
          <w:rFonts w:asciiTheme="minorHAnsi" w:hAnsiTheme="minorHAnsi" w:cstheme="minorHAnsi"/>
        </w:rPr>
        <w:t xml:space="preserve"> </w:t>
      </w:r>
      <w:r w:rsidR="004D58A6" w:rsidRPr="00DE2AE2">
        <w:rPr>
          <w:rFonts w:asciiTheme="minorHAnsi" w:hAnsiTheme="minorHAnsi" w:cstheme="minorHAnsi"/>
        </w:rPr>
        <w:t>Sen. Jordan Steele-John, quoted in Scott &amp; Dalzell 2022.</w:t>
      </w:r>
    </w:p>
  </w:footnote>
  <w:footnote w:id="37">
    <w:p w14:paraId="7FA4AAF8" w14:textId="77777777" w:rsidR="003B351D" w:rsidRDefault="003B351D" w:rsidP="003B351D">
      <w:pPr>
        <w:pStyle w:val="FootnoteText"/>
      </w:pPr>
      <w:r w:rsidRPr="00DE2AE2">
        <w:rPr>
          <w:rStyle w:val="FootnoteReference"/>
          <w:rFonts w:asciiTheme="minorHAnsi" w:hAnsiTheme="minorHAnsi" w:cstheme="minorHAnsi"/>
        </w:rPr>
        <w:footnoteRef/>
      </w:r>
      <w:r>
        <w:t xml:space="preserve"> </w:t>
      </w:r>
      <w:r>
        <w:rPr>
          <w:rFonts w:asciiTheme="minorHAnsi" w:hAnsiTheme="minorHAnsi" w:cstheme="minorHAnsi"/>
          <w:lang w:val="en-AU" w:eastAsia="zh-CN"/>
        </w:rPr>
        <w:t>Leeuw et al. 2022.</w:t>
      </w:r>
    </w:p>
  </w:footnote>
  <w:footnote w:id="38">
    <w:p w14:paraId="7C6D1CC6" w14:textId="091B643E" w:rsidR="006E534F" w:rsidRPr="00C571A0" w:rsidRDefault="006E534F">
      <w:pPr>
        <w:pStyle w:val="FootnoteText"/>
        <w:rPr>
          <w:rFonts w:asciiTheme="minorHAnsi" w:hAnsiTheme="minorHAnsi" w:cstheme="minorHAnsi"/>
        </w:rPr>
      </w:pPr>
      <w:r w:rsidRPr="00C571A0">
        <w:rPr>
          <w:rStyle w:val="FootnoteReference"/>
          <w:rFonts w:asciiTheme="minorHAnsi" w:hAnsiTheme="minorHAnsi" w:cstheme="minorHAnsi"/>
        </w:rPr>
        <w:footnoteRef/>
      </w:r>
      <w:r w:rsidRPr="00C571A0">
        <w:rPr>
          <w:rFonts w:asciiTheme="minorHAnsi" w:hAnsiTheme="minorHAnsi" w:cstheme="minorHAnsi"/>
        </w:rPr>
        <w:t xml:space="preserve"> </w:t>
      </w:r>
      <w:proofErr w:type="spellStart"/>
      <w:r w:rsidR="00C571A0" w:rsidRPr="00C571A0">
        <w:rPr>
          <w:rFonts w:asciiTheme="minorHAnsi" w:hAnsiTheme="minorHAnsi" w:cstheme="minorHAnsi"/>
        </w:rPr>
        <w:t>OzSage</w:t>
      </w:r>
      <w:proofErr w:type="spellEnd"/>
      <w:r w:rsidR="00C571A0" w:rsidRPr="00C571A0">
        <w:rPr>
          <w:rFonts w:asciiTheme="minorHAnsi" w:hAnsiTheme="minorHAnsi" w:cstheme="minorHAnsi"/>
        </w:rPr>
        <w:t xml:space="preserv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2010" w14:textId="77777777" w:rsidR="00942A9F" w:rsidRPr="00990CB1" w:rsidRDefault="0043611F" w:rsidP="004D6D08">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C178" w14:textId="77777777" w:rsidR="00942A9F" w:rsidRDefault="00FB259A">
    <w:pPr>
      <w:pStyle w:val="Header"/>
    </w:pPr>
  </w:p>
  <w:p w14:paraId="6C71E1DF" w14:textId="77777777" w:rsidR="00942A9F" w:rsidRDefault="00FB25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C8C"/>
    <w:multiLevelType w:val="hybridMultilevel"/>
    <w:tmpl w:val="8D184CD6"/>
    <w:lvl w:ilvl="0" w:tplc="2DF6B47C">
      <w:start w:val="4"/>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F2373"/>
    <w:multiLevelType w:val="multilevel"/>
    <w:tmpl w:val="9CEA337C"/>
    <w:styleLink w:val="CurrentList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4A0971"/>
    <w:multiLevelType w:val="hybridMultilevel"/>
    <w:tmpl w:val="A4480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787070"/>
    <w:multiLevelType w:val="hybridMultilevel"/>
    <w:tmpl w:val="8306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333542"/>
    <w:multiLevelType w:val="multilevel"/>
    <w:tmpl w:val="92D684D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B30A1C"/>
    <w:multiLevelType w:val="hybridMultilevel"/>
    <w:tmpl w:val="6CD48C16"/>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1D4037"/>
    <w:multiLevelType w:val="hybridMultilevel"/>
    <w:tmpl w:val="A024318A"/>
    <w:lvl w:ilvl="0" w:tplc="147C2268">
      <w:start w:val="1"/>
      <w:numFmt w:val="bullet"/>
      <w:pStyle w:val="ListParagraph"/>
      <w:lvlText w:val=""/>
      <w:lvlJc w:val="left"/>
      <w:pPr>
        <w:ind w:left="1440" w:hanging="360"/>
      </w:pPr>
      <w:rPr>
        <w:rFonts w:ascii="Wingdings" w:hAnsi="Wingdings" w:hint="default"/>
        <w:color w:val="5F606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A075CE3"/>
    <w:multiLevelType w:val="hybridMultilevel"/>
    <w:tmpl w:val="C8CA84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0EA188B"/>
    <w:multiLevelType w:val="hybridMultilevel"/>
    <w:tmpl w:val="799E2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17515B"/>
    <w:multiLevelType w:val="hybridMultilevel"/>
    <w:tmpl w:val="74267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533324"/>
    <w:multiLevelType w:val="hybridMultilevel"/>
    <w:tmpl w:val="79541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05D1CA4"/>
    <w:multiLevelType w:val="hybridMultilevel"/>
    <w:tmpl w:val="008EB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5F733F"/>
    <w:multiLevelType w:val="hybridMultilevel"/>
    <w:tmpl w:val="EEC20D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FFE11C0"/>
    <w:multiLevelType w:val="multilevel"/>
    <w:tmpl w:val="0EB24560"/>
    <w:styleLink w:val="CurrentList1"/>
    <w:lvl w:ilvl="0">
      <w:start w:val="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2"/>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8"/>
  </w:num>
  <w:num w:numId="3">
    <w:abstractNumId w:val="3"/>
  </w:num>
  <w:num w:numId="4">
    <w:abstractNumId w:val="13"/>
  </w:num>
  <w:num w:numId="5">
    <w:abstractNumId w:val="1"/>
  </w:num>
  <w:num w:numId="6">
    <w:abstractNumId w:val="4"/>
  </w:num>
  <w:num w:numId="7">
    <w:abstractNumId w:val="5"/>
  </w:num>
  <w:num w:numId="8">
    <w:abstractNumId w:val="0"/>
  </w:num>
  <w:num w:numId="9">
    <w:abstractNumId w:val="2"/>
  </w:num>
  <w:num w:numId="10">
    <w:abstractNumId w:val="11"/>
  </w:num>
  <w:num w:numId="11">
    <w:abstractNumId w:val="7"/>
  </w:num>
  <w:num w:numId="12">
    <w:abstractNumId w:val="10"/>
  </w:num>
  <w:num w:numId="13">
    <w:abstractNumId w:val="9"/>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1F"/>
    <w:rsid w:val="00001BFD"/>
    <w:rsid w:val="000038D1"/>
    <w:rsid w:val="00004F22"/>
    <w:rsid w:val="00006E54"/>
    <w:rsid w:val="00011AEE"/>
    <w:rsid w:val="00013674"/>
    <w:rsid w:val="000245A0"/>
    <w:rsid w:val="00026B87"/>
    <w:rsid w:val="00027A83"/>
    <w:rsid w:val="00030360"/>
    <w:rsid w:val="0003045E"/>
    <w:rsid w:val="00040346"/>
    <w:rsid w:val="00041EC4"/>
    <w:rsid w:val="000445FC"/>
    <w:rsid w:val="0004515E"/>
    <w:rsid w:val="0004650A"/>
    <w:rsid w:val="000505D9"/>
    <w:rsid w:val="00056773"/>
    <w:rsid w:val="00057437"/>
    <w:rsid w:val="00057EFE"/>
    <w:rsid w:val="000611D2"/>
    <w:rsid w:val="00061686"/>
    <w:rsid w:val="00061F0D"/>
    <w:rsid w:val="00064F3C"/>
    <w:rsid w:val="0006608A"/>
    <w:rsid w:val="00073C9F"/>
    <w:rsid w:val="000743F0"/>
    <w:rsid w:val="00076A51"/>
    <w:rsid w:val="00084C74"/>
    <w:rsid w:val="000879B6"/>
    <w:rsid w:val="00092247"/>
    <w:rsid w:val="000943A1"/>
    <w:rsid w:val="000A0A75"/>
    <w:rsid w:val="000A1B41"/>
    <w:rsid w:val="000A6C1E"/>
    <w:rsid w:val="000B44CE"/>
    <w:rsid w:val="000C101C"/>
    <w:rsid w:val="000C1CC4"/>
    <w:rsid w:val="000C2814"/>
    <w:rsid w:val="000C486E"/>
    <w:rsid w:val="000C7CD6"/>
    <w:rsid w:val="000D0BED"/>
    <w:rsid w:val="000D48C1"/>
    <w:rsid w:val="000D712A"/>
    <w:rsid w:val="000E4CB1"/>
    <w:rsid w:val="000F010A"/>
    <w:rsid w:val="000F2A12"/>
    <w:rsid w:val="000F3B07"/>
    <w:rsid w:val="000F4260"/>
    <w:rsid w:val="000F4E3C"/>
    <w:rsid w:val="000F6BCF"/>
    <w:rsid w:val="0010059E"/>
    <w:rsid w:val="00101A48"/>
    <w:rsid w:val="00102743"/>
    <w:rsid w:val="001027C8"/>
    <w:rsid w:val="00106F5D"/>
    <w:rsid w:val="00111AFE"/>
    <w:rsid w:val="00112B56"/>
    <w:rsid w:val="00115352"/>
    <w:rsid w:val="00117989"/>
    <w:rsid w:val="00117B15"/>
    <w:rsid w:val="00117C8B"/>
    <w:rsid w:val="00124597"/>
    <w:rsid w:val="00125EFD"/>
    <w:rsid w:val="001273F8"/>
    <w:rsid w:val="00130813"/>
    <w:rsid w:val="00137C94"/>
    <w:rsid w:val="00143CC2"/>
    <w:rsid w:val="00144617"/>
    <w:rsid w:val="001467E3"/>
    <w:rsid w:val="001507CA"/>
    <w:rsid w:val="001510B8"/>
    <w:rsid w:val="001537EE"/>
    <w:rsid w:val="00153AFE"/>
    <w:rsid w:val="00155438"/>
    <w:rsid w:val="00156516"/>
    <w:rsid w:val="00160A09"/>
    <w:rsid w:val="00162550"/>
    <w:rsid w:val="00162D5B"/>
    <w:rsid w:val="0016396A"/>
    <w:rsid w:val="001649C2"/>
    <w:rsid w:val="00164A4A"/>
    <w:rsid w:val="00171442"/>
    <w:rsid w:val="00176345"/>
    <w:rsid w:val="0018180F"/>
    <w:rsid w:val="00183940"/>
    <w:rsid w:val="001848C8"/>
    <w:rsid w:val="001862C5"/>
    <w:rsid w:val="00190E3D"/>
    <w:rsid w:val="00191297"/>
    <w:rsid w:val="00193D3D"/>
    <w:rsid w:val="00194DC9"/>
    <w:rsid w:val="00196E23"/>
    <w:rsid w:val="001A0F19"/>
    <w:rsid w:val="001A22F1"/>
    <w:rsid w:val="001A4C40"/>
    <w:rsid w:val="001A4CD6"/>
    <w:rsid w:val="001A5730"/>
    <w:rsid w:val="001A580D"/>
    <w:rsid w:val="001B02E7"/>
    <w:rsid w:val="001B0B6C"/>
    <w:rsid w:val="001B2FAB"/>
    <w:rsid w:val="001B5CF1"/>
    <w:rsid w:val="001B721B"/>
    <w:rsid w:val="001C1F55"/>
    <w:rsid w:val="001C37CC"/>
    <w:rsid w:val="001C5B49"/>
    <w:rsid w:val="001D449C"/>
    <w:rsid w:val="001E34F0"/>
    <w:rsid w:val="001E3C65"/>
    <w:rsid w:val="001E473B"/>
    <w:rsid w:val="001F2A77"/>
    <w:rsid w:val="0020048B"/>
    <w:rsid w:val="002145A3"/>
    <w:rsid w:val="00216161"/>
    <w:rsid w:val="0021637D"/>
    <w:rsid w:val="00217ABE"/>
    <w:rsid w:val="00220D7C"/>
    <w:rsid w:val="002309BA"/>
    <w:rsid w:val="002316D2"/>
    <w:rsid w:val="002325F6"/>
    <w:rsid w:val="00243503"/>
    <w:rsid w:val="00244FA2"/>
    <w:rsid w:val="00246F5E"/>
    <w:rsid w:val="00251BC3"/>
    <w:rsid w:val="00252378"/>
    <w:rsid w:val="00264E2D"/>
    <w:rsid w:val="00270573"/>
    <w:rsid w:val="00270701"/>
    <w:rsid w:val="0027096E"/>
    <w:rsid w:val="00274BA7"/>
    <w:rsid w:val="002767B0"/>
    <w:rsid w:val="00277AB5"/>
    <w:rsid w:val="002857B2"/>
    <w:rsid w:val="00292565"/>
    <w:rsid w:val="0029281A"/>
    <w:rsid w:val="002941B1"/>
    <w:rsid w:val="002961A1"/>
    <w:rsid w:val="00297799"/>
    <w:rsid w:val="002A00F3"/>
    <w:rsid w:val="002A03CE"/>
    <w:rsid w:val="002A1EF7"/>
    <w:rsid w:val="002A20FA"/>
    <w:rsid w:val="002A51B2"/>
    <w:rsid w:val="002A7FC3"/>
    <w:rsid w:val="002B15EC"/>
    <w:rsid w:val="002B17C1"/>
    <w:rsid w:val="002B1D2E"/>
    <w:rsid w:val="002C23FC"/>
    <w:rsid w:val="002C343C"/>
    <w:rsid w:val="002C559C"/>
    <w:rsid w:val="002D12E3"/>
    <w:rsid w:val="002D5221"/>
    <w:rsid w:val="002D609B"/>
    <w:rsid w:val="002D60FC"/>
    <w:rsid w:val="002E2B4F"/>
    <w:rsid w:val="002E346D"/>
    <w:rsid w:val="002E6B74"/>
    <w:rsid w:val="00303F3F"/>
    <w:rsid w:val="0030618A"/>
    <w:rsid w:val="00307062"/>
    <w:rsid w:val="0030794F"/>
    <w:rsid w:val="0031543A"/>
    <w:rsid w:val="00322A9C"/>
    <w:rsid w:val="00322DC4"/>
    <w:rsid w:val="00331157"/>
    <w:rsid w:val="003329E6"/>
    <w:rsid w:val="003336F8"/>
    <w:rsid w:val="00340E81"/>
    <w:rsid w:val="003424C0"/>
    <w:rsid w:val="003503FC"/>
    <w:rsid w:val="003530C5"/>
    <w:rsid w:val="003603CF"/>
    <w:rsid w:val="00360E3B"/>
    <w:rsid w:val="00363224"/>
    <w:rsid w:val="0036355E"/>
    <w:rsid w:val="003652D9"/>
    <w:rsid w:val="0037394F"/>
    <w:rsid w:val="00377DF0"/>
    <w:rsid w:val="00380F9B"/>
    <w:rsid w:val="00381207"/>
    <w:rsid w:val="00385E5A"/>
    <w:rsid w:val="00390D17"/>
    <w:rsid w:val="00392471"/>
    <w:rsid w:val="00394021"/>
    <w:rsid w:val="003A38F0"/>
    <w:rsid w:val="003A66B6"/>
    <w:rsid w:val="003A692C"/>
    <w:rsid w:val="003A7C93"/>
    <w:rsid w:val="003B0664"/>
    <w:rsid w:val="003B2F4B"/>
    <w:rsid w:val="003B351D"/>
    <w:rsid w:val="003B3755"/>
    <w:rsid w:val="003B3C35"/>
    <w:rsid w:val="003B5208"/>
    <w:rsid w:val="003B7B49"/>
    <w:rsid w:val="003D06AF"/>
    <w:rsid w:val="003D1CF8"/>
    <w:rsid w:val="003D6491"/>
    <w:rsid w:val="003E3966"/>
    <w:rsid w:val="003E760B"/>
    <w:rsid w:val="003F6271"/>
    <w:rsid w:val="003F629A"/>
    <w:rsid w:val="00403851"/>
    <w:rsid w:val="004039BF"/>
    <w:rsid w:val="004041FE"/>
    <w:rsid w:val="00404718"/>
    <w:rsid w:val="00406358"/>
    <w:rsid w:val="00406ABD"/>
    <w:rsid w:val="00410C7F"/>
    <w:rsid w:val="00413A4B"/>
    <w:rsid w:val="00416265"/>
    <w:rsid w:val="00416305"/>
    <w:rsid w:val="00416CBC"/>
    <w:rsid w:val="00416F86"/>
    <w:rsid w:val="00420733"/>
    <w:rsid w:val="004218FA"/>
    <w:rsid w:val="004261F6"/>
    <w:rsid w:val="00430475"/>
    <w:rsid w:val="00430775"/>
    <w:rsid w:val="004319C6"/>
    <w:rsid w:val="00432C98"/>
    <w:rsid w:val="00432CD3"/>
    <w:rsid w:val="0043611F"/>
    <w:rsid w:val="00436D9C"/>
    <w:rsid w:val="00440B21"/>
    <w:rsid w:val="00440B8A"/>
    <w:rsid w:val="00441543"/>
    <w:rsid w:val="0044662C"/>
    <w:rsid w:val="0044792F"/>
    <w:rsid w:val="00452553"/>
    <w:rsid w:val="004525BE"/>
    <w:rsid w:val="00453545"/>
    <w:rsid w:val="00454008"/>
    <w:rsid w:val="004579CC"/>
    <w:rsid w:val="004610A8"/>
    <w:rsid w:val="00464A4F"/>
    <w:rsid w:val="00470667"/>
    <w:rsid w:val="00470A80"/>
    <w:rsid w:val="004762E2"/>
    <w:rsid w:val="004767D3"/>
    <w:rsid w:val="0047761F"/>
    <w:rsid w:val="004800DC"/>
    <w:rsid w:val="00481040"/>
    <w:rsid w:val="00481092"/>
    <w:rsid w:val="0048201F"/>
    <w:rsid w:val="00487CE0"/>
    <w:rsid w:val="00497293"/>
    <w:rsid w:val="004A02A8"/>
    <w:rsid w:val="004A3E07"/>
    <w:rsid w:val="004A692A"/>
    <w:rsid w:val="004A747E"/>
    <w:rsid w:val="004B0CDB"/>
    <w:rsid w:val="004B69D5"/>
    <w:rsid w:val="004B6C2E"/>
    <w:rsid w:val="004C1598"/>
    <w:rsid w:val="004C1C22"/>
    <w:rsid w:val="004D273F"/>
    <w:rsid w:val="004D4BF6"/>
    <w:rsid w:val="004D58A6"/>
    <w:rsid w:val="004D7C04"/>
    <w:rsid w:val="004E1E92"/>
    <w:rsid w:val="004E5A1C"/>
    <w:rsid w:val="004E6149"/>
    <w:rsid w:val="004E6196"/>
    <w:rsid w:val="004E6F20"/>
    <w:rsid w:val="004E7FA4"/>
    <w:rsid w:val="004F2453"/>
    <w:rsid w:val="004F4A00"/>
    <w:rsid w:val="0051068C"/>
    <w:rsid w:val="005141BD"/>
    <w:rsid w:val="005178F1"/>
    <w:rsid w:val="00520117"/>
    <w:rsid w:val="00526F96"/>
    <w:rsid w:val="00530C0D"/>
    <w:rsid w:val="005318B2"/>
    <w:rsid w:val="0053316C"/>
    <w:rsid w:val="0053445F"/>
    <w:rsid w:val="00534DBA"/>
    <w:rsid w:val="005372B7"/>
    <w:rsid w:val="00540457"/>
    <w:rsid w:val="00542E74"/>
    <w:rsid w:val="005447BA"/>
    <w:rsid w:val="005628F2"/>
    <w:rsid w:val="005705C2"/>
    <w:rsid w:val="00574E02"/>
    <w:rsid w:val="00575312"/>
    <w:rsid w:val="00575F45"/>
    <w:rsid w:val="00577C7C"/>
    <w:rsid w:val="00581A63"/>
    <w:rsid w:val="00581FFA"/>
    <w:rsid w:val="00583511"/>
    <w:rsid w:val="00584A62"/>
    <w:rsid w:val="00585554"/>
    <w:rsid w:val="00586343"/>
    <w:rsid w:val="005927D0"/>
    <w:rsid w:val="00595E1E"/>
    <w:rsid w:val="005A0C21"/>
    <w:rsid w:val="005B0702"/>
    <w:rsid w:val="005B0E1A"/>
    <w:rsid w:val="005B3135"/>
    <w:rsid w:val="005B44EA"/>
    <w:rsid w:val="005B5424"/>
    <w:rsid w:val="005B71D8"/>
    <w:rsid w:val="005C0BA4"/>
    <w:rsid w:val="005C27B9"/>
    <w:rsid w:val="005C73E0"/>
    <w:rsid w:val="005D000C"/>
    <w:rsid w:val="005D62E7"/>
    <w:rsid w:val="005D7043"/>
    <w:rsid w:val="005D7F46"/>
    <w:rsid w:val="005E2612"/>
    <w:rsid w:val="005E337F"/>
    <w:rsid w:val="005E42CF"/>
    <w:rsid w:val="005F028F"/>
    <w:rsid w:val="005F753F"/>
    <w:rsid w:val="005F7CDC"/>
    <w:rsid w:val="00600E10"/>
    <w:rsid w:val="006014DE"/>
    <w:rsid w:val="00602100"/>
    <w:rsid w:val="006039C5"/>
    <w:rsid w:val="00606B3E"/>
    <w:rsid w:val="0061265F"/>
    <w:rsid w:val="006173C7"/>
    <w:rsid w:val="00621587"/>
    <w:rsid w:val="00622775"/>
    <w:rsid w:val="00623938"/>
    <w:rsid w:val="00626765"/>
    <w:rsid w:val="0063069B"/>
    <w:rsid w:val="0063421E"/>
    <w:rsid w:val="006342C8"/>
    <w:rsid w:val="00637161"/>
    <w:rsid w:val="00637E3F"/>
    <w:rsid w:val="00642BEA"/>
    <w:rsid w:val="006450B3"/>
    <w:rsid w:val="006457A2"/>
    <w:rsid w:val="00645FA8"/>
    <w:rsid w:val="00647720"/>
    <w:rsid w:val="0065363A"/>
    <w:rsid w:val="0065750D"/>
    <w:rsid w:val="0066557F"/>
    <w:rsid w:val="00665AE5"/>
    <w:rsid w:val="0066627B"/>
    <w:rsid w:val="0066671D"/>
    <w:rsid w:val="00666E2E"/>
    <w:rsid w:val="00672F19"/>
    <w:rsid w:val="00673A0B"/>
    <w:rsid w:val="00674B01"/>
    <w:rsid w:val="00681846"/>
    <w:rsid w:val="006868D8"/>
    <w:rsid w:val="006877BC"/>
    <w:rsid w:val="00687BE7"/>
    <w:rsid w:val="00690842"/>
    <w:rsid w:val="00690DCC"/>
    <w:rsid w:val="006942DE"/>
    <w:rsid w:val="00694E3B"/>
    <w:rsid w:val="00697C60"/>
    <w:rsid w:val="006A1691"/>
    <w:rsid w:val="006A3D88"/>
    <w:rsid w:val="006A6B21"/>
    <w:rsid w:val="006A78DB"/>
    <w:rsid w:val="006B0DB1"/>
    <w:rsid w:val="006B28E5"/>
    <w:rsid w:val="006B49FE"/>
    <w:rsid w:val="006B6687"/>
    <w:rsid w:val="006C7AA6"/>
    <w:rsid w:val="006D06DA"/>
    <w:rsid w:val="006D4D3D"/>
    <w:rsid w:val="006D4FFD"/>
    <w:rsid w:val="006D6ABD"/>
    <w:rsid w:val="006D7F90"/>
    <w:rsid w:val="006E3102"/>
    <w:rsid w:val="006E534F"/>
    <w:rsid w:val="006E5B2D"/>
    <w:rsid w:val="006F03A8"/>
    <w:rsid w:val="006F14EA"/>
    <w:rsid w:val="006F4764"/>
    <w:rsid w:val="006F5449"/>
    <w:rsid w:val="00704C49"/>
    <w:rsid w:val="007065FC"/>
    <w:rsid w:val="007074A3"/>
    <w:rsid w:val="007159BA"/>
    <w:rsid w:val="00716937"/>
    <w:rsid w:val="00717CBD"/>
    <w:rsid w:val="00721F5F"/>
    <w:rsid w:val="00722D6F"/>
    <w:rsid w:val="007257AB"/>
    <w:rsid w:val="0073083C"/>
    <w:rsid w:val="00730B77"/>
    <w:rsid w:val="007326FD"/>
    <w:rsid w:val="007347FE"/>
    <w:rsid w:val="0073697D"/>
    <w:rsid w:val="0074407E"/>
    <w:rsid w:val="007455CA"/>
    <w:rsid w:val="007517F0"/>
    <w:rsid w:val="007572D9"/>
    <w:rsid w:val="00760964"/>
    <w:rsid w:val="0076424C"/>
    <w:rsid w:val="00765F3D"/>
    <w:rsid w:val="00767299"/>
    <w:rsid w:val="00767D05"/>
    <w:rsid w:val="00771068"/>
    <w:rsid w:val="007710E1"/>
    <w:rsid w:val="00771F3D"/>
    <w:rsid w:val="0077320E"/>
    <w:rsid w:val="00773917"/>
    <w:rsid w:val="00773B1C"/>
    <w:rsid w:val="00780048"/>
    <w:rsid w:val="007808A1"/>
    <w:rsid w:val="007814FB"/>
    <w:rsid w:val="00785425"/>
    <w:rsid w:val="00786B48"/>
    <w:rsid w:val="0078727F"/>
    <w:rsid w:val="00791220"/>
    <w:rsid w:val="0079140B"/>
    <w:rsid w:val="00793520"/>
    <w:rsid w:val="007A284D"/>
    <w:rsid w:val="007A38B2"/>
    <w:rsid w:val="007A63A2"/>
    <w:rsid w:val="007B286D"/>
    <w:rsid w:val="007B2874"/>
    <w:rsid w:val="007B32C1"/>
    <w:rsid w:val="007B3529"/>
    <w:rsid w:val="007C51C0"/>
    <w:rsid w:val="007C676C"/>
    <w:rsid w:val="007D067C"/>
    <w:rsid w:val="007D097A"/>
    <w:rsid w:val="007D0A0C"/>
    <w:rsid w:val="007D2441"/>
    <w:rsid w:val="007D269B"/>
    <w:rsid w:val="007D331E"/>
    <w:rsid w:val="007D37DD"/>
    <w:rsid w:val="007D65F4"/>
    <w:rsid w:val="007E209E"/>
    <w:rsid w:val="007E558A"/>
    <w:rsid w:val="007E5C4F"/>
    <w:rsid w:val="007F2171"/>
    <w:rsid w:val="007F36B8"/>
    <w:rsid w:val="007F3DF5"/>
    <w:rsid w:val="007F6939"/>
    <w:rsid w:val="007F7E59"/>
    <w:rsid w:val="0080029F"/>
    <w:rsid w:val="00817164"/>
    <w:rsid w:val="00820E86"/>
    <w:rsid w:val="008242BF"/>
    <w:rsid w:val="00830133"/>
    <w:rsid w:val="00832428"/>
    <w:rsid w:val="00832D74"/>
    <w:rsid w:val="00834593"/>
    <w:rsid w:val="00840726"/>
    <w:rsid w:val="008475B5"/>
    <w:rsid w:val="00851480"/>
    <w:rsid w:val="00852FAB"/>
    <w:rsid w:val="008550B9"/>
    <w:rsid w:val="00861B34"/>
    <w:rsid w:val="00863320"/>
    <w:rsid w:val="008664B2"/>
    <w:rsid w:val="0087231E"/>
    <w:rsid w:val="008753F1"/>
    <w:rsid w:val="0087569E"/>
    <w:rsid w:val="00875F01"/>
    <w:rsid w:val="00876533"/>
    <w:rsid w:val="00880FDA"/>
    <w:rsid w:val="0088105E"/>
    <w:rsid w:val="00881467"/>
    <w:rsid w:val="00883390"/>
    <w:rsid w:val="00883D94"/>
    <w:rsid w:val="00885E70"/>
    <w:rsid w:val="00886788"/>
    <w:rsid w:val="00892867"/>
    <w:rsid w:val="00892E3C"/>
    <w:rsid w:val="00894364"/>
    <w:rsid w:val="008955B6"/>
    <w:rsid w:val="008967D0"/>
    <w:rsid w:val="008A01A7"/>
    <w:rsid w:val="008A515D"/>
    <w:rsid w:val="008A5D34"/>
    <w:rsid w:val="008B1BA3"/>
    <w:rsid w:val="008C0260"/>
    <w:rsid w:val="008C08C4"/>
    <w:rsid w:val="008C435F"/>
    <w:rsid w:val="008C463A"/>
    <w:rsid w:val="008C4C84"/>
    <w:rsid w:val="008C7970"/>
    <w:rsid w:val="008D0821"/>
    <w:rsid w:val="008D0B7C"/>
    <w:rsid w:val="008D1A96"/>
    <w:rsid w:val="008E0EFF"/>
    <w:rsid w:val="008E3445"/>
    <w:rsid w:val="008E5AF6"/>
    <w:rsid w:val="008E7DB1"/>
    <w:rsid w:val="008F679B"/>
    <w:rsid w:val="008F7152"/>
    <w:rsid w:val="00902476"/>
    <w:rsid w:val="009055DD"/>
    <w:rsid w:val="00907245"/>
    <w:rsid w:val="009074B8"/>
    <w:rsid w:val="00910725"/>
    <w:rsid w:val="009144C2"/>
    <w:rsid w:val="0091512E"/>
    <w:rsid w:val="00915836"/>
    <w:rsid w:val="00915D38"/>
    <w:rsid w:val="00916851"/>
    <w:rsid w:val="0092049B"/>
    <w:rsid w:val="00925C40"/>
    <w:rsid w:val="00927C4F"/>
    <w:rsid w:val="0093179D"/>
    <w:rsid w:val="0093214D"/>
    <w:rsid w:val="00932D5D"/>
    <w:rsid w:val="00933204"/>
    <w:rsid w:val="00933E70"/>
    <w:rsid w:val="0093660E"/>
    <w:rsid w:val="009406DA"/>
    <w:rsid w:val="009413D9"/>
    <w:rsid w:val="00945FE1"/>
    <w:rsid w:val="00946F1A"/>
    <w:rsid w:val="00952B61"/>
    <w:rsid w:val="009600E3"/>
    <w:rsid w:val="00960444"/>
    <w:rsid w:val="00964604"/>
    <w:rsid w:val="009661DF"/>
    <w:rsid w:val="009708C0"/>
    <w:rsid w:val="00971392"/>
    <w:rsid w:val="0097161D"/>
    <w:rsid w:val="0097240D"/>
    <w:rsid w:val="00973D00"/>
    <w:rsid w:val="00973D50"/>
    <w:rsid w:val="009746E9"/>
    <w:rsid w:val="00975CC4"/>
    <w:rsid w:val="00981A00"/>
    <w:rsid w:val="00981EA2"/>
    <w:rsid w:val="00983BD5"/>
    <w:rsid w:val="0098563C"/>
    <w:rsid w:val="00985DA3"/>
    <w:rsid w:val="0098659D"/>
    <w:rsid w:val="009900FF"/>
    <w:rsid w:val="00990C39"/>
    <w:rsid w:val="00990EA5"/>
    <w:rsid w:val="00991C40"/>
    <w:rsid w:val="00993632"/>
    <w:rsid w:val="009948A4"/>
    <w:rsid w:val="0099519F"/>
    <w:rsid w:val="009972F8"/>
    <w:rsid w:val="009A2C15"/>
    <w:rsid w:val="009A330A"/>
    <w:rsid w:val="009A749D"/>
    <w:rsid w:val="009A7AF2"/>
    <w:rsid w:val="009B0419"/>
    <w:rsid w:val="009B0576"/>
    <w:rsid w:val="009C07A7"/>
    <w:rsid w:val="009C2028"/>
    <w:rsid w:val="009C2D53"/>
    <w:rsid w:val="009C3BAA"/>
    <w:rsid w:val="009D12DB"/>
    <w:rsid w:val="009D2B11"/>
    <w:rsid w:val="009E04B5"/>
    <w:rsid w:val="009E4400"/>
    <w:rsid w:val="009F1E24"/>
    <w:rsid w:val="009F214F"/>
    <w:rsid w:val="009F28C8"/>
    <w:rsid w:val="009F3440"/>
    <w:rsid w:val="009F482E"/>
    <w:rsid w:val="009F6292"/>
    <w:rsid w:val="009F759D"/>
    <w:rsid w:val="00A03101"/>
    <w:rsid w:val="00A031C7"/>
    <w:rsid w:val="00A04698"/>
    <w:rsid w:val="00A068E9"/>
    <w:rsid w:val="00A0752F"/>
    <w:rsid w:val="00A10B48"/>
    <w:rsid w:val="00A10CFF"/>
    <w:rsid w:val="00A1390E"/>
    <w:rsid w:val="00A15577"/>
    <w:rsid w:val="00A15DE5"/>
    <w:rsid w:val="00A23227"/>
    <w:rsid w:val="00A255FD"/>
    <w:rsid w:val="00A2760A"/>
    <w:rsid w:val="00A3048F"/>
    <w:rsid w:val="00A35398"/>
    <w:rsid w:val="00A45C80"/>
    <w:rsid w:val="00A46E2A"/>
    <w:rsid w:val="00A50F7E"/>
    <w:rsid w:val="00A64BD6"/>
    <w:rsid w:val="00A67EAB"/>
    <w:rsid w:val="00A70E69"/>
    <w:rsid w:val="00A74029"/>
    <w:rsid w:val="00A77501"/>
    <w:rsid w:val="00A77C57"/>
    <w:rsid w:val="00A827ED"/>
    <w:rsid w:val="00A82CDA"/>
    <w:rsid w:val="00A83657"/>
    <w:rsid w:val="00A83916"/>
    <w:rsid w:val="00A85342"/>
    <w:rsid w:val="00A86304"/>
    <w:rsid w:val="00A86F14"/>
    <w:rsid w:val="00A90D8D"/>
    <w:rsid w:val="00A91A00"/>
    <w:rsid w:val="00A95313"/>
    <w:rsid w:val="00A976D0"/>
    <w:rsid w:val="00AA3BF0"/>
    <w:rsid w:val="00AA3CF5"/>
    <w:rsid w:val="00AB0BE7"/>
    <w:rsid w:val="00AB14F4"/>
    <w:rsid w:val="00AB4C11"/>
    <w:rsid w:val="00AB7E13"/>
    <w:rsid w:val="00AC1E79"/>
    <w:rsid w:val="00AC402F"/>
    <w:rsid w:val="00AD1118"/>
    <w:rsid w:val="00AD177F"/>
    <w:rsid w:val="00AD32BC"/>
    <w:rsid w:val="00AE1853"/>
    <w:rsid w:val="00AE6CBA"/>
    <w:rsid w:val="00AE7EA6"/>
    <w:rsid w:val="00AE7FC5"/>
    <w:rsid w:val="00AF507F"/>
    <w:rsid w:val="00AF6D6E"/>
    <w:rsid w:val="00AF7586"/>
    <w:rsid w:val="00B00D4B"/>
    <w:rsid w:val="00B01210"/>
    <w:rsid w:val="00B06CBC"/>
    <w:rsid w:val="00B154F7"/>
    <w:rsid w:val="00B16458"/>
    <w:rsid w:val="00B16961"/>
    <w:rsid w:val="00B16E61"/>
    <w:rsid w:val="00B21B7C"/>
    <w:rsid w:val="00B24849"/>
    <w:rsid w:val="00B2699D"/>
    <w:rsid w:val="00B308A6"/>
    <w:rsid w:val="00B30B17"/>
    <w:rsid w:val="00B31CD0"/>
    <w:rsid w:val="00B325AB"/>
    <w:rsid w:val="00B345AA"/>
    <w:rsid w:val="00B34C94"/>
    <w:rsid w:val="00B43469"/>
    <w:rsid w:val="00B4710C"/>
    <w:rsid w:val="00B52D69"/>
    <w:rsid w:val="00B52EF9"/>
    <w:rsid w:val="00B5538B"/>
    <w:rsid w:val="00B56AF6"/>
    <w:rsid w:val="00B62271"/>
    <w:rsid w:val="00B72BC5"/>
    <w:rsid w:val="00B72ECA"/>
    <w:rsid w:val="00B83A08"/>
    <w:rsid w:val="00B852A9"/>
    <w:rsid w:val="00B85F2B"/>
    <w:rsid w:val="00B87240"/>
    <w:rsid w:val="00B87706"/>
    <w:rsid w:val="00B91D86"/>
    <w:rsid w:val="00B95C54"/>
    <w:rsid w:val="00BA1323"/>
    <w:rsid w:val="00BA4F36"/>
    <w:rsid w:val="00BC1C0A"/>
    <w:rsid w:val="00BC5A04"/>
    <w:rsid w:val="00BC7A28"/>
    <w:rsid w:val="00BD2207"/>
    <w:rsid w:val="00BD3768"/>
    <w:rsid w:val="00BD3D78"/>
    <w:rsid w:val="00BE6D38"/>
    <w:rsid w:val="00BF167D"/>
    <w:rsid w:val="00C06007"/>
    <w:rsid w:val="00C0701B"/>
    <w:rsid w:val="00C1210F"/>
    <w:rsid w:val="00C130E9"/>
    <w:rsid w:val="00C1462A"/>
    <w:rsid w:val="00C1677D"/>
    <w:rsid w:val="00C21713"/>
    <w:rsid w:val="00C219D2"/>
    <w:rsid w:val="00C25AC9"/>
    <w:rsid w:val="00C268D6"/>
    <w:rsid w:val="00C269B2"/>
    <w:rsid w:val="00C3221F"/>
    <w:rsid w:val="00C36CB0"/>
    <w:rsid w:val="00C40F7E"/>
    <w:rsid w:val="00C40FF7"/>
    <w:rsid w:val="00C41DAE"/>
    <w:rsid w:val="00C43030"/>
    <w:rsid w:val="00C43E11"/>
    <w:rsid w:val="00C4421D"/>
    <w:rsid w:val="00C47C75"/>
    <w:rsid w:val="00C50180"/>
    <w:rsid w:val="00C529A0"/>
    <w:rsid w:val="00C571A0"/>
    <w:rsid w:val="00C61D31"/>
    <w:rsid w:val="00C63A56"/>
    <w:rsid w:val="00C65D3E"/>
    <w:rsid w:val="00C661F5"/>
    <w:rsid w:val="00C70531"/>
    <w:rsid w:val="00C759F9"/>
    <w:rsid w:val="00C7628C"/>
    <w:rsid w:val="00C90373"/>
    <w:rsid w:val="00C90CAE"/>
    <w:rsid w:val="00C90CE0"/>
    <w:rsid w:val="00C90DC8"/>
    <w:rsid w:val="00C94562"/>
    <w:rsid w:val="00CA23CB"/>
    <w:rsid w:val="00CA3FBD"/>
    <w:rsid w:val="00CA5E4B"/>
    <w:rsid w:val="00CA6241"/>
    <w:rsid w:val="00CB0370"/>
    <w:rsid w:val="00CB14A2"/>
    <w:rsid w:val="00CB479D"/>
    <w:rsid w:val="00CB622D"/>
    <w:rsid w:val="00CB6F92"/>
    <w:rsid w:val="00CB717B"/>
    <w:rsid w:val="00CB7D85"/>
    <w:rsid w:val="00CC2C04"/>
    <w:rsid w:val="00CC3994"/>
    <w:rsid w:val="00CC40EB"/>
    <w:rsid w:val="00CD041E"/>
    <w:rsid w:val="00CD1D9C"/>
    <w:rsid w:val="00CD73FB"/>
    <w:rsid w:val="00CD7B4A"/>
    <w:rsid w:val="00CE03A6"/>
    <w:rsid w:val="00CE0F2A"/>
    <w:rsid w:val="00CE5C5E"/>
    <w:rsid w:val="00CF18A0"/>
    <w:rsid w:val="00CF3DFC"/>
    <w:rsid w:val="00CF7586"/>
    <w:rsid w:val="00CF7BB7"/>
    <w:rsid w:val="00D032E9"/>
    <w:rsid w:val="00D042BF"/>
    <w:rsid w:val="00D10BC5"/>
    <w:rsid w:val="00D10DDE"/>
    <w:rsid w:val="00D148B9"/>
    <w:rsid w:val="00D15035"/>
    <w:rsid w:val="00D16A20"/>
    <w:rsid w:val="00D205A2"/>
    <w:rsid w:val="00D21C88"/>
    <w:rsid w:val="00D22A0C"/>
    <w:rsid w:val="00D22D73"/>
    <w:rsid w:val="00D30353"/>
    <w:rsid w:val="00D30460"/>
    <w:rsid w:val="00D30884"/>
    <w:rsid w:val="00D329A7"/>
    <w:rsid w:val="00D40F7A"/>
    <w:rsid w:val="00D40FD3"/>
    <w:rsid w:val="00D457F8"/>
    <w:rsid w:val="00D46CC5"/>
    <w:rsid w:val="00D516B7"/>
    <w:rsid w:val="00D53FAE"/>
    <w:rsid w:val="00D57BB9"/>
    <w:rsid w:val="00D6304F"/>
    <w:rsid w:val="00D66164"/>
    <w:rsid w:val="00D761A3"/>
    <w:rsid w:val="00D81FCC"/>
    <w:rsid w:val="00D824EF"/>
    <w:rsid w:val="00D829FD"/>
    <w:rsid w:val="00D83DCF"/>
    <w:rsid w:val="00D850BC"/>
    <w:rsid w:val="00D8622B"/>
    <w:rsid w:val="00D867E0"/>
    <w:rsid w:val="00D871BD"/>
    <w:rsid w:val="00DA1EBE"/>
    <w:rsid w:val="00DB1FCD"/>
    <w:rsid w:val="00DB237D"/>
    <w:rsid w:val="00DB2F73"/>
    <w:rsid w:val="00DB61A7"/>
    <w:rsid w:val="00DB62C9"/>
    <w:rsid w:val="00DB7D65"/>
    <w:rsid w:val="00DC0A81"/>
    <w:rsid w:val="00DC0A92"/>
    <w:rsid w:val="00DD4425"/>
    <w:rsid w:val="00DD4F3A"/>
    <w:rsid w:val="00DE2AE2"/>
    <w:rsid w:val="00DE30C1"/>
    <w:rsid w:val="00DE3E36"/>
    <w:rsid w:val="00DE44EF"/>
    <w:rsid w:val="00DE67AB"/>
    <w:rsid w:val="00DE767B"/>
    <w:rsid w:val="00DE7857"/>
    <w:rsid w:val="00DF1CA1"/>
    <w:rsid w:val="00DF4AC5"/>
    <w:rsid w:val="00DF4D82"/>
    <w:rsid w:val="00E01745"/>
    <w:rsid w:val="00E04E07"/>
    <w:rsid w:val="00E11224"/>
    <w:rsid w:val="00E13DC8"/>
    <w:rsid w:val="00E21D90"/>
    <w:rsid w:val="00E256D7"/>
    <w:rsid w:val="00E30C6F"/>
    <w:rsid w:val="00E31706"/>
    <w:rsid w:val="00E33F3A"/>
    <w:rsid w:val="00E36A10"/>
    <w:rsid w:val="00E41A72"/>
    <w:rsid w:val="00E42038"/>
    <w:rsid w:val="00E470A2"/>
    <w:rsid w:val="00E50653"/>
    <w:rsid w:val="00E512D3"/>
    <w:rsid w:val="00E51405"/>
    <w:rsid w:val="00E54342"/>
    <w:rsid w:val="00E54457"/>
    <w:rsid w:val="00E56714"/>
    <w:rsid w:val="00E60A6E"/>
    <w:rsid w:val="00E620E2"/>
    <w:rsid w:val="00E62DA6"/>
    <w:rsid w:val="00E63058"/>
    <w:rsid w:val="00E63110"/>
    <w:rsid w:val="00E73CB2"/>
    <w:rsid w:val="00E763F7"/>
    <w:rsid w:val="00E83C33"/>
    <w:rsid w:val="00E86CEE"/>
    <w:rsid w:val="00E86D8F"/>
    <w:rsid w:val="00E95A20"/>
    <w:rsid w:val="00E976EB"/>
    <w:rsid w:val="00EA37F2"/>
    <w:rsid w:val="00EB5D02"/>
    <w:rsid w:val="00EC097F"/>
    <w:rsid w:val="00EC115A"/>
    <w:rsid w:val="00EC4B14"/>
    <w:rsid w:val="00EC4CF8"/>
    <w:rsid w:val="00EC53E5"/>
    <w:rsid w:val="00EC60B7"/>
    <w:rsid w:val="00ED1849"/>
    <w:rsid w:val="00ED1C1A"/>
    <w:rsid w:val="00ED3A69"/>
    <w:rsid w:val="00ED4037"/>
    <w:rsid w:val="00ED5DC6"/>
    <w:rsid w:val="00ED692B"/>
    <w:rsid w:val="00EE3B9C"/>
    <w:rsid w:val="00EE5455"/>
    <w:rsid w:val="00EE55C8"/>
    <w:rsid w:val="00EE71A2"/>
    <w:rsid w:val="00EF19EB"/>
    <w:rsid w:val="00EF24C6"/>
    <w:rsid w:val="00EF40D7"/>
    <w:rsid w:val="00EF48D4"/>
    <w:rsid w:val="00F07B13"/>
    <w:rsid w:val="00F10669"/>
    <w:rsid w:val="00F11F4E"/>
    <w:rsid w:val="00F12FF5"/>
    <w:rsid w:val="00F133BA"/>
    <w:rsid w:val="00F1348C"/>
    <w:rsid w:val="00F17357"/>
    <w:rsid w:val="00F2004E"/>
    <w:rsid w:val="00F22F55"/>
    <w:rsid w:val="00F23A8D"/>
    <w:rsid w:val="00F23E13"/>
    <w:rsid w:val="00F33569"/>
    <w:rsid w:val="00F347B6"/>
    <w:rsid w:val="00F34CEA"/>
    <w:rsid w:val="00F36ACA"/>
    <w:rsid w:val="00F406E7"/>
    <w:rsid w:val="00F411F4"/>
    <w:rsid w:val="00F41C82"/>
    <w:rsid w:val="00F426D6"/>
    <w:rsid w:val="00F42BAA"/>
    <w:rsid w:val="00F438AB"/>
    <w:rsid w:val="00F43BFB"/>
    <w:rsid w:val="00F44EE0"/>
    <w:rsid w:val="00F46E00"/>
    <w:rsid w:val="00F54512"/>
    <w:rsid w:val="00F56119"/>
    <w:rsid w:val="00F57504"/>
    <w:rsid w:val="00F61C24"/>
    <w:rsid w:val="00F653DD"/>
    <w:rsid w:val="00F7064B"/>
    <w:rsid w:val="00F721DB"/>
    <w:rsid w:val="00F774CF"/>
    <w:rsid w:val="00F82996"/>
    <w:rsid w:val="00F84120"/>
    <w:rsid w:val="00F85400"/>
    <w:rsid w:val="00F91070"/>
    <w:rsid w:val="00F97384"/>
    <w:rsid w:val="00F9793D"/>
    <w:rsid w:val="00F97FE9"/>
    <w:rsid w:val="00FA0D8E"/>
    <w:rsid w:val="00FA2FF2"/>
    <w:rsid w:val="00FB259A"/>
    <w:rsid w:val="00FB2748"/>
    <w:rsid w:val="00FB32E8"/>
    <w:rsid w:val="00FC3505"/>
    <w:rsid w:val="00FC496C"/>
    <w:rsid w:val="00FC4A88"/>
    <w:rsid w:val="00FC5A99"/>
    <w:rsid w:val="00FC74FC"/>
    <w:rsid w:val="00FD03E8"/>
    <w:rsid w:val="00FD16DC"/>
    <w:rsid w:val="00FD3949"/>
    <w:rsid w:val="00FD3986"/>
    <w:rsid w:val="00FD6B05"/>
    <w:rsid w:val="00FE1AC8"/>
    <w:rsid w:val="00FE4608"/>
    <w:rsid w:val="00FE74B0"/>
    <w:rsid w:val="00FE7E3E"/>
    <w:rsid w:val="00FF0D5F"/>
    <w:rsid w:val="00FF1A89"/>
    <w:rsid w:val="00FF41AC"/>
    <w:rsid w:val="00FF56B7"/>
    <w:rsid w:val="00FF686F"/>
    <w:rsid w:val="3F7D2DC7"/>
    <w:rsid w:val="6680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C7A82"/>
  <w15:chartTrackingRefBased/>
  <w15:docId w15:val="{D0B850AC-CB19-4071-9C3C-E1DF27D7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color w:val="3B3B3B"/>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qFormat="1"/>
    <w:lsdException w:name="Quote"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7"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11F"/>
    <w:pPr>
      <w:spacing w:after="200" w:line="276" w:lineRule="auto"/>
    </w:pPr>
    <w:rPr>
      <w:rFonts w:ascii="Arial" w:eastAsia="Cambria" w:hAnsi="Arial" w:cs="Times New Roman"/>
      <w:color w:val="auto"/>
      <w:kern w:val="24"/>
      <w:sz w:val="24"/>
      <w:szCs w:val="24"/>
      <w:lang w:val="en-US"/>
    </w:rPr>
  </w:style>
  <w:style w:type="paragraph" w:styleId="Heading1">
    <w:name w:val="heading 1"/>
    <w:basedOn w:val="Normal"/>
    <w:next w:val="Normal"/>
    <w:link w:val="Heading1Char"/>
    <w:uiPriority w:val="9"/>
    <w:qFormat/>
    <w:rsid w:val="00902476"/>
    <w:pPr>
      <w:keepNext/>
      <w:keepLines/>
      <w:spacing w:before="240" w:after="0"/>
      <w:outlineLvl w:val="0"/>
    </w:pPr>
    <w:rPr>
      <w:rFonts w:asciiTheme="majorHAnsi" w:eastAsiaTheme="majorEastAsia" w:hAnsiTheme="majorHAnsi" w:cstheme="majorBidi"/>
      <w:b/>
      <w:sz w:val="32"/>
      <w:szCs w:val="32"/>
      <w:lang w:val="en-AU" w:eastAsia="zh-CN"/>
    </w:rPr>
  </w:style>
  <w:style w:type="paragraph" w:styleId="Heading2">
    <w:name w:val="heading 2"/>
    <w:basedOn w:val="Normal"/>
    <w:next w:val="Normal"/>
    <w:link w:val="Heading2Char"/>
    <w:uiPriority w:val="9"/>
    <w:unhideWhenUsed/>
    <w:qFormat/>
    <w:rsid w:val="00902476"/>
    <w:pPr>
      <w:keepNext/>
      <w:keepLines/>
      <w:spacing w:before="40" w:after="0"/>
      <w:outlineLvl w:val="1"/>
    </w:pPr>
    <w:rPr>
      <w:rFonts w:asciiTheme="majorHAnsi" w:eastAsiaTheme="majorEastAsia" w:hAnsiTheme="majorHAnsi" w:cstheme="majorBidi"/>
      <w:b/>
      <w:sz w:val="28"/>
      <w:szCs w:val="26"/>
      <w:lang w:val="en-AU" w:eastAsia="zh-CN"/>
    </w:rPr>
  </w:style>
  <w:style w:type="paragraph" w:styleId="Heading3">
    <w:name w:val="heading 3"/>
    <w:basedOn w:val="Normal"/>
    <w:next w:val="Normal"/>
    <w:link w:val="Heading3Char"/>
    <w:uiPriority w:val="9"/>
    <w:unhideWhenUsed/>
    <w:qFormat/>
    <w:rsid w:val="00902476"/>
    <w:pPr>
      <w:keepNext/>
      <w:keepLines/>
      <w:spacing w:before="40" w:after="0"/>
      <w:outlineLvl w:val="2"/>
    </w:pPr>
    <w:rPr>
      <w:rFonts w:asciiTheme="majorHAnsi" w:eastAsiaTheme="majorEastAsia" w:hAnsiTheme="majorHAnsi" w:cstheme="majorBidi"/>
      <w:b/>
      <w:lang w:val="en-AU" w:eastAsia="zh-CN"/>
    </w:rPr>
  </w:style>
  <w:style w:type="paragraph" w:styleId="Heading4">
    <w:name w:val="heading 4"/>
    <w:basedOn w:val="Normal"/>
    <w:next w:val="Normal"/>
    <w:link w:val="Heading4Char"/>
    <w:uiPriority w:val="9"/>
    <w:unhideWhenUsed/>
    <w:qFormat/>
    <w:rsid w:val="00902476"/>
    <w:pPr>
      <w:keepNext/>
      <w:keepLines/>
      <w:spacing w:before="40" w:after="0"/>
      <w:outlineLvl w:val="3"/>
    </w:pPr>
    <w:rPr>
      <w:rFonts w:asciiTheme="majorHAnsi" w:eastAsiaTheme="majorEastAsia" w:hAnsiTheme="majorHAnsi" w:cstheme="majorBidi"/>
      <w:b/>
      <w:iCs/>
      <w:color w:val="FCB04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TagLine">
    <w:name w:val="Footer - TagLine"/>
    <w:basedOn w:val="Footer"/>
    <w:uiPriority w:val="99"/>
    <w:qFormat/>
    <w:rsid w:val="00902476"/>
    <w:pPr>
      <w:pBdr>
        <w:top w:val="single" w:sz="4" w:space="1" w:color="D9D9D9" w:themeColor="background1" w:themeShade="D9"/>
      </w:pBdr>
    </w:pPr>
    <w:rPr>
      <w:rFonts w:cs="Arial"/>
      <w:noProof/>
      <w:color w:val="5F6062"/>
      <w:spacing w:val="30"/>
      <w:sz w:val="20"/>
      <w:lang w:eastAsia="en-GB"/>
    </w:rPr>
  </w:style>
  <w:style w:type="paragraph" w:styleId="Footer">
    <w:name w:val="footer"/>
    <w:basedOn w:val="Normal"/>
    <w:link w:val="FooterChar"/>
    <w:uiPriority w:val="99"/>
    <w:unhideWhenUsed/>
    <w:rsid w:val="00902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476"/>
  </w:style>
  <w:style w:type="paragraph" w:customStyle="1" w:styleId="QuoteReference">
    <w:name w:val="Quote Reference"/>
    <w:basedOn w:val="Quote"/>
    <w:uiPriority w:val="35"/>
    <w:qFormat/>
    <w:rsid w:val="00902476"/>
    <w:pPr>
      <w:ind w:left="851"/>
    </w:pPr>
    <w:rPr>
      <w:color w:val="5F6062"/>
      <w:sz w:val="24"/>
    </w:rPr>
  </w:style>
  <w:style w:type="paragraph" w:styleId="Quote">
    <w:name w:val="Quote"/>
    <w:basedOn w:val="Normal"/>
    <w:next w:val="Normal"/>
    <w:link w:val="QuoteChar"/>
    <w:uiPriority w:val="34"/>
    <w:qFormat/>
    <w:rsid w:val="00902476"/>
    <w:pPr>
      <w:spacing w:before="120" w:after="120" w:line="240" w:lineRule="auto"/>
      <w:ind w:left="284" w:right="284"/>
    </w:pPr>
    <w:rPr>
      <w:iCs/>
      <w:color w:val="FCB040"/>
      <w:sz w:val="32"/>
    </w:rPr>
  </w:style>
  <w:style w:type="character" w:customStyle="1" w:styleId="QuoteChar">
    <w:name w:val="Quote Char"/>
    <w:basedOn w:val="DefaultParagraphFont"/>
    <w:link w:val="Quote"/>
    <w:uiPriority w:val="34"/>
    <w:rsid w:val="00902476"/>
    <w:rPr>
      <w:iCs/>
      <w:color w:val="FCB040"/>
      <w:sz w:val="32"/>
    </w:rPr>
  </w:style>
  <w:style w:type="paragraph" w:customStyle="1" w:styleId="TblSectionHeading1">
    <w:name w:val="TblSection Heading 1"/>
    <w:basedOn w:val="NoSpacing"/>
    <w:link w:val="TblSectionHeading1Char"/>
    <w:uiPriority w:val="49"/>
    <w:qFormat/>
    <w:rsid w:val="00902476"/>
    <w:rPr>
      <w:color w:val="FFFFFF" w:themeColor="background1"/>
      <w:sz w:val="36"/>
    </w:rPr>
  </w:style>
  <w:style w:type="character" w:customStyle="1" w:styleId="TblSectionHeading1Char">
    <w:name w:val="TblSection Heading 1 Char"/>
    <w:basedOn w:val="NoSpacingChar"/>
    <w:link w:val="TblSectionHeading1"/>
    <w:uiPriority w:val="49"/>
    <w:rsid w:val="00902476"/>
    <w:rPr>
      <w:color w:val="FFFFFF" w:themeColor="background1"/>
      <w:sz w:val="36"/>
    </w:rPr>
  </w:style>
  <w:style w:type="paragraph" w:styleId="NoSpacing">
    <w:name w:val="No Spacing"/>
    <w:link w:val="NoSpacingChar"/>
    <w:qFormat/>
    <w:rsid w:val="00902476"/>
    <w:pPr>
      <w:spacing w:after="0" w:line="240" w:lineRule="auto"/>
    </w:pPr>
  </w:style>
  <w:style w:type="character" w:customStyle="1" w:styleId="Heading1Char">
    <w:name w:val="Heading 1 Char"/>
    <w:basedOn w:val="DefaultParagraphFont"/>
    <w:link w:val="Heading1"/>
    <w:uiPriority w:val="9"/>
    <w:rsid w:val="00902476"/>
    <w:rPr>
      <w:rFonts w:asciiTheme="majorHAnsi" w:eastAsiaTheme="majorEastAsia" w:hAnsiTheme="majorHAnsi" w:cstheme="majorBidi"/>
      <w:b/>
      <w:sz w:val="32"/>
      <w:szCs w:val="32"/>
      <w:lang w:val="en-AU" w:eastAsia="zh-CN"/>
    </w:rPr>
  </w:style>
  <w:style w:type="character" w:customStyle="1" w:styleId="Heading2Char">
    <w:name w:val="Heading 2 Char"/>
    <w:basedOn w:val="DefaultParagraphFont"/>
    <w:link w:val="Heading2"/>
    <w:uiPriority w:val="9"/>
    <w:rsid w:val="00902476"/>
    <w:rPr>
      <w:rFonts w:asciiTheme="majorHAnsi" w:eastAsiaTheme="majorEastAsia" w:hAnsiTheme="majorHAnsi" w:cstheme="majorBidi"/>
      <w:b/>
      <w:sz w:val="28"/>
      <w:szCs w:val="26"/>
      <w:lang w:val="en-AU" w:eastAsia="zh-CN"/>
    </w:rPr>
  </w:style>
  <w:style w:type="character" w:customStyle="1" w:styleId="Heading3Char">
    <w:name w:val="Heading 3 Char"/>
    <w:basedOn w:val="DefaultParagraphFont"/>
    <w:link w:val="Heading3"/>
    <w:uiPriority w:val="9"/>
    <w:rsid w:val="00902476"/>
    <w:rPr>
      <w:rFonts w:asciiTheme="majorHAnsi" w:eastAsiaTheme="majorEastAsia" w:hAnsiTheme="majorHAnsi" w:cstheme="majorBidi"/>
      <w:b/>
      <w:sz w:val="24"/>
      <w:szCs w:val="24"/>
      <w:lang w:val="en-AU" w:eastAsia="zh-CN"/>
    </w:rPr>
  </w:style>
  <w:style w:type="character" w:customStyle="1" w:styleId="Heading4Char">
    <w:name w:val="Heading 4 Char"/>
    <w:basedOn w:val="DefaultParagraphFont"/>
    <w:link w:val="Heading4"/>
    <w:uiPriority w:val="9"/>
    <w:rsid w:val="00902476"/>
    <w:rPr>
      <w:rFonts w:asciiTheme="majorHAnsi" w:eastAsiaTheme="majorEastAsia" w:hAnsiTheme="majorHAnsi" w:cstheme="majorBidi"/>
      <w:b/>
      <w:iCs/>
      <w:color w:val="FCB040"/>
      <w:sz w:val="24"/>
      <w:lang w:val="en-AU" w:eastAsia="zh-CN"/>
    </w:rPr>
  </w:style>
  <w:style w:type="paragraph" w:styleId="Subtitle">
    <w:name w:val="Subtitle"/>
    <w:basedOn w:val="Normal"/>
    <w:next w:val="Normal"/>
    <w:link w:val="SubtitleChar"/>
    <w:uiPriority w:val="29"/>
    <w:qFormat/>
    <w:rsid w:val="00902476"/>
    <w:pPr>
      <w:numPr>
        <w:ilvl w:val="1"/>
      </w:numPr>
      <w:spacing w:after="160" w:line="240" w:lineRule="auto"/>
    </w:pPr>
    <w:rPr>
      <w:color w:val="5A5A5A" w:themeColor="text1" w:themeTint="A5"/>
      <w:spacing w:val="15"/>
      <w:sz w:val="20"/>
    </w:rPr>
  </w:style>
  <w:style w:type="character" w:customStyle="1" w:styleId="SubtitleChar">
    <w:name w:val="Subtitle Char"/>
    <w:basedOn w:val="DefaultParagraphFont"/>
    <w:link w:val="Subtitle"/>
    <w:uiPriority w:val="29"/>
    <w:rsid w:val="00902476"/>
    <w:rPr>
      <w:color w:val="5A5A5A" w:themeColor="text1" w:themeTint="A5"/>
      <w:spacing w:val="15"/>
      <w:sz w:val="20"/>
    </w:rPr>
  </w:style>
  <w:style w:type="character" w:styleId="Strong">
    <w:name w:val="Strong"/>
    <w:basedOn w:val="DefaultParagraphFont"/>
    <w:uiPriority w:val="22"/>
    <w:qFormat/>
    <w:rsid w:val="00902476"/>
    <w:rPr>
      <w:rFonts w:asciiTheme="majorHAnsi" w:hAnsiTheme="majorHAnsi"/>
      <w:b/>
      <w:bCs/>
      <w:sz w:val="22"/>
    </w:rPr>
  </w:style>
  <w:style w:type="character" w:styleId="Emphasis">
    <w:name w:val="Emphasis"/>
    <w:basedOn w:val="DefaultParagraphFont"/>
    <w:uiPriority w:val="20"/>
    <w:qFormat/>
    <w:rsid w:val="00902476"/>
    <w:rPr>
      <w:i/>
      <w:iCs/>
      <w:color w:val="595959" w:themeColor="text1" w:themeTint="A6"/>
    </w:rPr>
  </w:style>
  <w:style w:type="character" w:customStyle="1" w:styleId="NoSpacingChar">
    <w:name w:val="No Spacing Char"/>
    <w:basedOn w:val="DefaultParagraphFont"/>
    <w:link w:val="NoSpacing"/>
    <w:rsid w:val="00902476"/>
  </w:style>
  <w:style w:type="paragraph" w:styleId="ListParagraph">
    <w:name w:val="List Paragraph"/>
    <w:basedOn w:val="Normal"/>
    <w:uiPriority w:val="10"/>
    <w:qFormat/>
    <w:rsid w:val="00902476"/>
    <w:pPr>
      <w:numPr>
        <w:numId w:val="1"/>
      </w:numPr>
      <w:spacing w:before="120" w:after="120"/>
      <w:contextualSpacing/>
    </w:pPr>
  </w:style>
  <w:style w:type="character" w:styleId="IntenseEmphasis">
    <w:name w:val="Intense Emphasis"/>
    <w:basedOn w:val="DefaultParagraphFont"/>
    <w:uiPriority w:val="17"/>
    <w:qFormat/>
    <w:rsid w:val="00902476"/>
    <w:rPr>
      <w:i/>
      <w:iCs/>
      <w:color w:val="FCB040"/>
    </w:rPr>
  </w:style>
  <w:style w:type="character" w:styleId="SubtleReference">
    <w:name w:val="Subtle Reference"/>
    <w:basedOn w:val="DefaultParagraphFont"/>
    <w:uiPriority w:val="31"/>
    <w:qFormat/>
    <w:rsid w:val="00902476"/>
    <w:rPr>
      <w:rFonts w:asciiTheme="majorHAnsi" w:hAnsiTheme="majorHAnsi"/>
      <w:smallCaps/>
      <w:color w:val="5A5A5A" w:themeColor="text1" w:themeTint="A5"/>
    </w:rPr>
  </w:style>
  <w:style w:type="character" w:styleId="IntenseReference">
    <w:name w:val="Intense Reference"/>
    <w:basedOn w:val="DefaultParagraphFont"/>
    <w:uiPriority w:val="32"/>
    <w:qFormat/>
    <w:rsid w:val="00902476"/>
    <w:rPr>
      <w:rFonts w:asciiTheme="majorHAnsi" w:hAnsiTheme="majorHAnsi"/>
      <w:b/>
      <w:bCs/>
      <w:smallCaps/>
      <w:color w:val="FCB040"/>
      <w:spacing w:val="5"/>
    </w:rPr>
  </w:style>
  <w:style w:type="paragraph" w:styleId="Header">
    <w:name w:val="header"/>
    <w:basedOn w:val="Normal"/>
    <w:link w:val="HeaderChar"/>
    <w:uiPriority w:val="99"/>
    <w:unhideWhenUsed/>
    <w:rsid w:val="0043611F"/>
    <w:pPr>
      <w:tabs>
        <w:tab w:val="center" w:pos="4320"/>
        <w:tab w:val="right" w:pos="8640"/>
      </w:tabs>
      <w:spacing w:after="0"/>
    </w:pPr>
  </w:style>
  <w:style w:type="character" w:customStyle="1" w:styleId="HeaderChar">
    <w:name w:val="Header Char"/>
    <w:basedOn w:val="DefaultParagraphFont"/>
    <w:link w:val="Header"/>
    <w:uiPriority w:val="99"/>
    <w:rsid w:val="0043611F"/>
    <w:rPr>
      <w:rFonts w:ascii="Arial" w:eastAsia="Cambria" w:hAnsi="Arial" w:cs="Times New Roman"/>
      <w:color w:val="auto"/>
      <w:kern w:val="24"/>
      <w:sz w:val="24"/>
      <w:szCs w:val="24"/>
      <w:lang w:val="en-US"/>
    </w:rPr>
  </w:style>
  <w:style w:type="character" w:styleId="Hyperlink">
    <w:name w:val="Hyperlink"/>
    <w:uiPriority w:val="99"/>
    <w:unhideWhenUsed/>
    <w:rsid w:val="0043611F"/>
    <w:rPr>
      <w:color w:val="000000"/>
      <w:u w:val="single"/>
    </w:rPr>
  </w:style>
  <w:style w:type="paragraph" w:styleId="TOC2">
    <w:name w:val="toc 2"/>
    <w:basedOn w:val="Normal"/>
    <w:next w:val="Normal"/>
    <w:autoRedefine/>
    <w:uiPriority w:val="39"/>
    <w:unhideWhenUsed/>
    <w:rsid w:val="005318B2"/>
    <w:pPr>
      <w:tabs>
        <w:tab w:val="right" w:leader="dot" w:pos="9339"/>
      </w:tabs>
      <w:spacing w:after="0"/>
      <w:ind w:left="240"/>
    </w:pPr>
    <w:rPr>
      <w:rFonts w:asciiTheme="minorHAnsi" w:hAnsiTheme="minorHAnsi" w:cstheme="minorHAnsi"/>
      <w:smallCaps/>
      <w:noProof/>
      <w:u w:val="single"/>
      <w:lang w:val="en-AU"/>
    </w:rPr>
  </w:style>
  <w:style w:type="paragraph" w:customStyle="1" w:styleId="has-text-color">
    <w:name w:val="has-text-color"/>
    <w:basedOn w:val="Normal"/>
    <w:rsid w:val="00ED692B"/>
    <w:pPr>
      <w:spacing w:before="100" w:beforeAutospacing="1" w:after="100" w:afterAutospacing="1" w:line="240" w:lineRule="auto"/>
    </w:pPr>
    <w:rPr>
      <w:rFonts w:ascii="Times New Roman" w:eastAsia="Times New Roman" w:hAnsi="Times New Roman"/>
      <w:kern w:val="0"/>
      <w:lang w:val="en-AU" w:eastAsia="en-AU"/>
    </w:rPr>
  </w:style>
  <w:style w:type="paragraph" w:styleId="NormalWeb">
    <w:name w:val="Normal (Web)"/>
    <w:basedOn w:val="Normal"/>
    <w:uiPriority w:val="99"/>
    <w:unhideWhenUsed/>
    <w:rsid w:val="00ED692B"/>
    <w:pPr>
      <w:spacing w:before="100" w:beforeAutospacing="1" w:after="100" w:afterAutospacing="1" w:line="240" w:lineRule="auto"/>
    </w:pPr>
    <w:rPr>
      <w:rFonts w:ascii="Times New Roman" w:eastAsia="Times New Roman" w:hAnsi="Times New Roman"/>
      <w:kern w:val="0"/>
      <w:lang w:val="en-AU" w:eastAsia="en-AU"/>
    </w:rPr>
  </w:style>
  <w:style w:type="character" w:styleId="UnresolvedMention">
    <w:name w:val="Unresolved Mention"/>
    <w:basedOn w:val="DefaultParagraphFont"/>
    <w:uiPriority w:val="99"/>
    <w:semiHidden/>
    <w:unhideWhenUsed/>
    <w:rsid w:val="007D0A0C"/>
    <w:rPr>
      <w:color w:val="605E5C"/>
      <w:shd w:val="clear" w:color="auto" w:fill="E1DFDD"/>
    </w:rPr>
  </w:style>
  <w:style w:type="paragraph" w:styleId="FootnoteText">
    <w:name w:val="footnote text"/>
    <w:basedOn w:val="Normal"/>
    <w:link w:val="FootnoteTextChar"/>
    <w:uiPriority w:val="99"/>
    <w:semiHidden/>
    <w:unhideWhenUsed/>
    <w:rsid w:val="002E2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2B4F"/>
    <w:rPr>
      <w:rFonts w:ascii="Arial" w:eastAsia="Cambria" w:hAnsi="Arial" w:cs="Times New Roman"/>
      <w:color w:val="auto"/>
      <w:kern w:val="24"/>
      <w:sz w:val="20"/>
      <w:szCs w:val="20"/>
      <w:lang w:val="en-US"/>
    </w:rPr>
  </w:style>
  <w:style w:type="character" w:styleId="FootnoteReference">
    <w:name w:val="footnote reference"/>
    <w:basedOn w:val="DefaultParagraphFont"/>
    <w:uiPriority w:val="99"/>
    <w:semiHidden/>
    <w:unhideWhenUsed/>
    <w:rsid w:val="002E2B4F"/>
    <w:rPr>
      <w:vertAlign w:val="superscript"/>
    </w:rPr>
  </w:style>
  <w:style w:type="paragraph" w:customStyle="1" w:styleId="HeadingNew">
    <w:name w:val="Heading New"/>
    <w:basedOn w:val="Normal"/>
    <w:next w:val="Normal"/>
    <w:qFormat/>
    <w:rsid w:val="00FB32E8"/>
    <w:pPr>
      <w:pageBreakBefore/>
    </w:pPr>
    <w:rPr>
      <w:rFonts w:ascii="Calibri Light" w:hAnsi="Calibri Light"/>
      <w:b/>
      <w:color w:val="006666"/>
      <w:sz w:val="44"/>
    </w:rPr>
  </w:style>
  <w:style w:type="character" w:styleId="FollowedHyperlink">
    <w:name w:val="FollowedHyperlink"/>
    <w:basedOn w:val="DefaultParagraphFont"/>
    <w:uiPriority w:val="99"/>
    <w:semiHidden/>
    <w:unhideWhenUsed/>
    <w:rsid w:val="002941B1"/>
    <w:rPr>
      <w:color w:val="FBB040" w:themeColor="followedHyperlink"/>
      <w:u w:val="single"/>
    </w:rPr>
  </w:style>
  <w:style w:type="paragraph" w:customStyle="1" w:styleId="p">
    <w:name w:val="p"/>
    <w:basedOn w:val="Normal"/>
    <w:rsid w:val="004D7C04"/>
    <w:pPr>
      <w:spacing w:before="100" w:beforeAutospacing="1" w:after="100" w:afterAutospacing="1" w:line="240" w:lineRule="auto"/>
    </w:pPr>
    <w:rPr>
      <w:rFonts w:ascii="Times New Roman" w:eastAsia="Times New Roman" w:hAnsi="Times New Roman"/>
      <w:kern w:val="0"/>
      <w:lang w:val="en-AU" w:eastAsia="en-AU"/>
    </w:rPr>
  </w:style>
  <w:style w:type="paragraph" w:customStyle="1" w:styleId="39n3n">
    <w:name w:val="_39n3n"/>
    <w:basedOn w:val="Normal"/>
    <w:rsid w:val="008C7970"/>
    <w:pPr>
      <w:spacing w:before="100" w:beforeAutospacing="1" w:after="100" w:afterAutospacing="1" w:line="240" w:lineRule="auto"/>
    </w:pPr>
    <w:rPr>
      <w:rFonts w:ascii="Times New Roman" w:eastAsia="Times New Roman" w:hAnsi="Times New Roman"/>
      <w:kern w:val="0"/>
      <w:lang w:val="en-AU" w:eastAsia="en-AU"/>
    </w:rPr>
  </w:style>
  <w:style w:type="numbering" w:customStyle="1" w:styleId="CurrentList1">
    <w:name w:val="Current List1"/>
    <w:uiPriority w:val="99"/>
    <w:rsid w:val="00991C40"/>
    <w:pPr>
      <w:numPr>
        <w:numId w:val="4"/>
      </w:numPr>
    </w:pPr>
  </w:style>
  <w:style w:type="numbering" w:customStyle="1" w:styleId="CurrentList2">
    <w:name w:val="Current List2"/>
    <w:uiPriority w:val="99"/>
    <w:rsid w:val="00CB479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960">
      <w:bodyDiv w:val="1"/>
      <w:marLeft w:val="0"/>
      <w:marRight w:val="0"/>
      <w:marTop w:val="0"/>
      <w:marBottom w:val="0"/>
      <w:divBdr>
        <w:top w:val="none" w:sz="0" w:space="0" w:color="auto"/>
        <w:left w:val="none" w:sz="0" w:space="0" w:color="auto"/>
        <w:bottom w:val="none" w:sz="0" w:space="0" w:color="auto"/>
        <w:right w:val="none" w:sz="0" w:space="0" w:color="auto"/>
      </w:divBdr>
    </w:div>
    <w:div w:id="140781555">
      <w:bodyDiv w:val="1"/>
      <w:marLeft w:val="0"/>
      <w:marRight w:val="0"/>
      <w:marTop w:val="0"/>
      <w:marBottom w:val="0"/>
      <w:divBdr>
        <w:top w:val="none" w:sz="0" w:space="0" w:color="auto"/>
        <w:left w:val="none" w:sz="0" w:space="0" w:color="auto"/>
        <w:bottom w:val="none" w:sz="0" w:space="0" w:color="auto"/>
        <w:right w:val="none" w:sz="0" w:space="0" w:color="auto"/>
      </w:divBdr>
    </w:div>
    <w:div w:id="220989680">
      <w:bodyDiv w:val="1"/>
      <w:marLeft w:val="0"/>
      <w:marRight w:val="0"/>
      <w:marTop w:val="0"/>
      <w:marBottom w:val="0"/>
      <w:divBdr>
        <w:top w:val="none" w:sz="0" w:space="0" w:color="auto"/>
        <w:left w:val="none" w:sz="0" w:space="0" w:color="auto"/>
        <w:bottom w:val="none" w:sz="0" w:space="0" w:color="auto"/>
        <w:right w:val="none" w:sz="0" w:space="0" w:color="auto"/>
      </w:divBdr>
    </w:div>
    <w:div w:id="488903641">
      <w:bodyDiv w:val="1"/>
      <w:marLeft w:val="0"/>
      <w:marRight w:val="0"/>
      <w:marTop w:val="0"/>
      <w:marBottom w:val="0"/>
      <w:divBdr>
        <w:top w:val="none" w:sz="0" w:space="0" w:color="auto"/>
        <w:left w:val="none" w:sz="0" w:space="0" w:color="auto"/>
        <w:bottom w:val="none" w:sz="0" w:space="0" w:color="auto"/>
        <w:right w:val="none" w:sz="0" w:space="0" w:color="auto"/>
      </w:divBdr>
    </w:div>
    <w:div w:id="505751942">
      <w:bodyDiv w:val="1"/>
      <w:marLeft w:val="0"/>
      <w:marRight w:val="0"/>
      <w:marTop w:val="0"/>
      <w:marBottom w:val="0"/>
      <w:divBdr>
        <w:top w:val="none" w:sz="0" w:space="0" w:color="auto"/>
        <w:left w:val="none" w:sz="0" w:space="0" w:color="auto"/>
        <w:bottom w:val="none" w:sz="0" w:space="0" w:color="auto"/>
        <w:right w:val="none" w:sz="0" w:space="0" w:color="auto"/>
      </w:divBdr>
    </w:div>
    <w:div w:id="930965949">
      <w:bodyDiv w:val="1"/>
      <w:marLeft w:val="0"/>
      <w:marRight w:val="0"/>
      <w:marTop w:val="0"/>
      <w:marBottom w:val="0"/>
      <w:divBdr>
        <w:top w:val="none" w:sz="0" w:space="0" w:color="auto"/>
        <w:left w:val="none" w:sz="0" w:space="0" w:color="auto"/>
        <w:bottom w:val="none" w:sz="0" w:space="0" w:color="auto"/>
        <w:right w:val="none" w:sz="0" w:space="0" w:color="auto"/>
      </w:divBdr>
    </w:div>
    <w:div w:id="1199588594">
      <w:bodyDiv w:val="1"/>
      <w:marLeft w:val="0"/>
      <w:marRight w:val="0"/>
      <w:marTop w:val="0"/>
      <w:marBottom w:val="0"/>
      <w:divBdr>
        <w:top w:val="none" w:sz="0" w:space="0" w:color="auto"/>
        <w:left w:val="none" w:sz="0" w:space="0" w:color="auto"/>
        <w:bottom w:val="none" w:sz="0" w:space="0" w:color="auto"/>
        <w:right w:val="none" w:sz="0" w:space="0" w:color="auto"/>
      </w:divBdr>
    </w:div>
    <w:div w:id="1252395326">
      <w:bodyDiv w:val="1"/>
      <w:marLeft w:val="0"/>
      <w:marRight w:val="0"/>
      <w:marTop w:val="0"/>
      <w:marBottom w:val="0"/>
      <w:divBdr>
        <w:top w:val="none" w:sz="0" w:space="0" w:color="auto"/>
        <w:left w:val="none" w:sz="0" w:space="0" w:color="auto"/>
        <w:bottom w:val="none" w:sz="0" w:space="0" w:color="auto"/>
        <w:right w:val="none" w:sz="0" w:space="0" w:color="auto"/>
      </w:divBdr>
    </w:div>
    <w:div w:id="1476021296">
      <w:bodyDiv w:val="1"/>
      <w:marLeft w:val="0"/>
      <w:marRight w:val="0"/>
      <w:marTop w:val="0"/>
      <w:marBottom w:val="0"/>
      <w:divBdr>
        <w:top w:val="none" w:sz="0" w:space="0" w:color="auto"/>
        <w:left w:val="none" w:sz="0" w:space="0" w:color="auto"/>
        <w:bottom w:val="none" w:sz="0" w:space="0" w:color="auto"/>
        <w:right w:val="none" w:sz="0" w:space="0" w:color="auto"/>
      </w:divBdr>
    </w:div>
    <w:div w:id="1550533275">
      <w:bodyDiv w:val="1"/>
      <w:marLeft w:val="0"/>
      <w:marRight w:val="0"/>
      <w:marTop w:val="0"/>
      <w:marBottom w:val="0"/>
      <w:divBdr>
        <w:top w:val="none" w:sz="0" w:space="0" w:color="auto"/>
        <w:left w:val="none" w:sz="0" w:space="0" w:color="auto"/>
        <w:bottom w:val="none" w:sz="0" w:space="0" w:color="auto"/>
        <w:right w:val="none" w:sz="0" w:space="0" w:color="auto"/>
      </w:divBdr>
    </w:div>
    <w:div w:id="1556967784">
      <w:bodyDiv w:val="1"/>
      <w:marLeft w:val="0"/>
      <w:marRight w:val="0"/>
      <w:marTop w:val="0"/>
      <w:marBottom w:val="0"/>
      <w:divBdr>
        <w:top w:val="none" w:sz="0" w:space="0" w:color="auto"/>
        <w:left w:val="none" w:sz="0" w:space="0" w:color="auto"/>
        <w:bottom w:val="none" w:sz="0" w:space="0" w:color="auto"/>
        <w:right w:val="none" w:sz="0" w:space="0" w:color="auto"/>
      </w:divBdr>
    </w:div>
    <w:div w:id="1578130305">
      <w:bodyDiv w:val="1"/>
      <w:marLeft w:val="0"/>
      <w:marRight w:val="0"/>
      <w:marTop w:val="0"/>
      <w:marBottom w:val="0"/>
      <w:divBdr>
        <w:top w:val="none" w:sz="0" w:space="0" w:color="auto"/>
        <w:left w:val="none" w:sz="0" w:space="0" w:color="auto"/>
        <w:bottom w:val="none" w:sz="0" w:space="0" w:color="auto"/>
        <w:right w:val="none" w:sz="0" w:space="0" w:color="auto"/>
      </w:divBdr>
    </w:div>
    <w:div w:id="1637295681">
      <w:bodyDiv w:val="1"/>
      <w:marLeft w:val="0"/>
      <w:marRight w:val="0"/>
      <w:marTop w:val="0"/>
      <w:marBottom w:val="0"/>
      <w:divBdr>
        <w:top w:val="none" w:sz="0" w:space="0" w:color="auto"/>
        <w:left w:val="none" w:sz="0" w:space="0" w:color="auto"/>
        <w:bottom w:val="none" w:sz="0" w:space="0" w:color="auto"/>
        <w:right w:val="none" w:sz="0" w:space="0" w:color="auto"/>
      </w:divBdr>
    </w:div>
    <w:div w:id="1877037693">
      <w:bodyDiv w:val="1"/>
      <w:marLeft w:val="0"/>
      <w:marRight w:val="0"/>
      <w:marTop w:val="0"/>
      <w:marBottom w:val="0"/>
      <w:divBdr>
        <w:top w:val="none" w:sz="0" w:space="0" w:color="auto"/>
        <w:left w:val="none" w:sz="0" w:space="0" w:color="auto"/>
        <w:bottom w:val="none" w:sz="0" w:space="0" w:color="auto"/>
        <w:right w:val="none" w:sz="0" w:space="0" w:color="auto"/>
      </w:divBdr>
    </w:div>
    <w:div w:id="1891964331">
      <w:bodyDiv w:val="1"/>
      <w:marLeft w:val="0"/>
      <w:marRight w:val="0"/>
      <w:marTop w:val="0"/>
      <w:marBottom w:val="0"/>
      <w:divBdr>
        <w:top w:val="none" w:sz="0" w:space="0" w:color="auto"/>
        <w:left w:val="none" w:sz="0" w:space="0" w:color="auto"/>
        <w:bottom w:val="none" w:sz="0" w:space="0" w:color="auto"/>
        <w:right w:val="none" w:sz="0" w:space="0" w:color="auto"/>
      </w:divBdr>
    </w:div>
    <w:div w:id="19206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www.abc.net.au/news/2022-06-25/long-covid-clinic-st-vincents-cognitive-decline/1011784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i.org/10.1016/j.lanwpc.2021.100193" TargetMode="External"/><Relationship Id="rId2" Type="http://schemas.openxmlformats.org/officeDocument/2006/relationships/numbering" Target="numbering.xml"/><Relationship Id="rId16" Type="http://schemas.openxmlformats.org/officeDocument/2006/relationships/hyperlink" Target="http://dx.doi.org/10.15585/mmwr.mm7121e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i.org/10.1186/s12889-022-13169-x"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1038/s41591-022-01840-0" TargetMode="External"/></Relationships>
</file>

<file path=word/theme/theme1.xml><?xml version="1.0" encoding="utf-8"?>
<a:theme xmlns:a="http://schemas.openxmlformats.org/drawingml/2006/main" name="Office Theme">
  <a:themeElements>
    <a:clrScheme name="PremierCorpTheme">
      <a:dk1>
        <a:sysClr val="windowText" lastClr="000000"/>
      </a:dk1>
      <a:lt1>
        <a:srgbClr val="FFFFFF"/>
      </a:lt1>
      <a:dk2>
        <a:srgbClr val="3F3F3F"/>
      </a:dk2>
      <a:lt2>
        <a:srgbClr val="FFFFFF"/>
      </a:lt2>
      <a:accent1>
        <a:srgbClr val="5F6062"/>
      </a:accent1>
      <a:accent2>
        <a:srgbClr val="FBB040"/>
      </a:accent2>
      <a:accent3>
        <a:srgbClr val="FDDFB2"/>
      </a:accent3>
      <a:accent4>
        <a:srgbClr val="D28005"/>
      </a:accent4>
      <a:accent5>
        <a:srgbClr val="474849"/>
      </a:accent5>
      <a:accent6>
        <a:srgbClr val="D8D8D8"/>
      </a:accent6>
      <a:hlink>
        <a:srgbClr val="FBB040"/>
      </a:hlink>
      <a:folHlink>
        <a:srgbClr val="FBB04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F1023-B7DC-4A9C-8524-2D1AE4CF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4581</Words>
  <Characters>26115</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30635</CharactersWithSpaces>
  <SharedDoc>false</SharedDoc>
  <HLinks>
    <vt:vector size="48" baseType="variant">
      <vt:variant>
        <vt:i4>5439499</vt:i4>
      </vt:variant>
      <vt:variant>
        <vt:i4>30</vt:i4>
      </vt:variant>
      <vt:variant>
        <vt:i4>0</vt:i4>
      </vt:variant>
      <vt:variant>
        <vt:i4>5</vt:i4>
      </vt:variant>
      <vt:variant>
        <vt:lpwstr>https://www.abc.net.au/news/2022-06-25/long-covid-clinic-st-vincents-cognitive-decline/101178450</vt:lpwstr>
      </vt:variant>
      <vt:variant>
        <vt:lpwstr/>
      </vt:variant>
      <vt:variant>
        <vt:i4>5570643</vt:i4>
      </vt:variant>
      <vt:variant>
        <vt:i4>27</vt:i4>
      </vt:variant>
      <vt:variant>
        <vt:i4>0</vt:i4>
      </vt:variant>
      <vt:variant>
        <vt:i4>5</vt:i4>
      </vt:variant>
      <vt:variant>
        <vt:lpwstr>https://doi.org/10.1016/j.lanwpc.2021.100193</vt:lpwstr>
      </vt:variant>
      <vt:variant>
        <vt:lpwstr/>
      </vt:variant>
      <vt:variant>
        <vt:i4>1310811</vt:i4>
      </vt:variant>
      <vt:variant>
        <vt:i4>24</vt:i4>
      </vt:variant>
      <vt:variant>
        <vt:i4>0</vt:i4>
      </vt:variant>
      <vt:variant>
        <vt:i4>5</vt:i4>
      </vt:variant>
      <vt:variant>
        <vt:lpwstr>http://dx.doi.org/10.15585/mmwr.mm7121e1</vt:lpwstr>
      </vt:variant>
      <vt:variant>
        <vt:lpwstr/>
      </vt:variant>
      <vt:variant>
        <vt:i4>6815806</vt:i4>
      </vt:variant>
      <vt:variant>
        <vt:i4>21</vt:i4>
      </vt:variant>
      <vt:variant>
        <vt:i4>0</vt:i4>
      </vt:variant>
      <vt:variant>
        <vt:i4>5</vt:i4>
      </vt:variant>
      <vt:variant>
        <vt:lpwstr>https://doi.org/10.1186/s12889-022-13169-x</vt:lpwstr>
      </vt:variant>
      <vt:variant>
        <vt:lpwstr/>
      </vt:variant>
      <vt:variant>
        <vt:i4>2752563</vt:i4>
      </vt:variant>
      <vt:variant>
        <vt:i4>18</vt:i4>
      </vt:variant>
      <vt:variant>
        <vt:i4>0</vt:i4>
      </vt:variant>
      <vt:variant>
        <vt:i4>5</vt:i4>
      </vt:variant>
      <vt:variant>
        <vt:lpwstr>https://doi.org/10.1038/s41591-022-01840-0</vt:lpwstr>
      </vt:variant>
      <vt:variant>
        <vt:lpwstr/>
      </vt:variant>
      <vt:variant>
        <vt:i4>2490372</vt:i4>
      </vt:variant>
      <vt:variant>
        <vt:i4>14</vt:i4>
      </vt:variant>
      <vt:variant>
        <vt:i4>0</vt:i4>
      </vt:variant>
      <vt:variant>
        <vt:i4>5</vt:i4>
      </vt:variant>
      <vt:variant>
        <vt:lpwstr/>
      </vt:variant>
      <vt:variant>
        <vt:lpwstr>_Toc2206650</vt:lpwstr>
      </vt:variant>
      <vt:variant>
        <vt:i4>2555908</vt:i4>
      </vt:variant>
      <vt:variant>
        <vt:i4>8</vt:i4>
      </vt:variant>
      <vt:variant>
        <vt:i4>0</vt:i4>
      </vt:variant>
      <vt:variant>
        <vt:i4>5</vt:i4>
      </vt:variant>
      <vt:variant>
        <vt:lpwstr/>
      </vt:variant>
      <vt:variant>
        <vt:lpwstr>_Toc2206649</vt:lpwstr>
      </vt:variant>
      <vt:variant>
        <vt:i4>2555908</vt:i4>
      </vt:variant>
      <vt:variant>
        <vt:i4>2</vt:i4>
      </vt:variant>
      <vt:variant>
        <vt:i4>0</vt:i4>
      </vt:variant>
      <vt:variant>
        <vt:i4>5</vt:i4>
      </vt:variant>
      <vt:variant>
        <vt:lpwstr/>
      </vt:variant>
      <vt:variant>
        <vt:lpwstr>_Toc2206648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Rudd</dc:creator>
  <cp:keywords/>
  <dc:description/>
  <cp:lastModifiedBy>Rebecca Rudd</cp:lastModifiedBy>
  <cp:revision>2</cp:revision>
  <dcterms:created xsi:type="dcterms:W3CDTF">2022-11-30T04:13:00Z</dcterms:created>
  <dcterms:modified xsi:type="dcterms:W3CDTF">2022-11-30T04:13:00Z</dcterms:modified>
</cp:coreProperties>
</file>